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B7E" w:rsidRDefault="00614A02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bCs/>
          <w:sz w:val="22"/>
        </w:rPr>
        <w:t xml:space="preserve">3GPP TSG RAN WG1 </w:t>
      </w:r>
      <w:r>
        <w:rPr>
          <w:rFonts w:ascii="Arial" w:eastAsia="宋体" w:hAnsi="Arial" w:cs="Arial"/>
          <w:b/>
          <w:bCs/>
          <w:sz w:val="22"/>
          <w:lang w:eastAsia="zh-CN"/>
        </w:rPr>
        <w:t>Meeting #89</w:t>
      </w:r>
      <w:r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  <w:t>R1-1707231</w:t>
      </w:r>
    </w:p>
    <w:p w:rsidR="00944B7E" w:rsidRDefault="00614A0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宋体" w:hAnsi="Arial"/>
          <w:b/>
          <w:sz w:val="22"/>
          <w:lang w:eastAsia="zh-CN"/>
        </w:rPr>
        <w:t>Hangzhou, P.R. China 15th – 19th May 2017</w:t>
      </w:r>
    </w:p>
    <w:p w:rsidR="00944B7E" w:rsidRDefault="00944B7E">
      <w:pPr>
        <w:pStyle w:val="a4"/>
        <w:rPr>
          <w:rFonts w:cs="Arial"/>
        </w:rPr>
      </w:pPr>
    </w:p>
    <w:p w:rsidR="00944B7E" w:rsidRPr="00A90932" w:rsidRDefault="00614A02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A90932">
        <w:rPr>
          <w:rFonts w:cs="Arial"/>
        </w:rPr>
        <w:t>Source:</w:t>
      </w:r>
      <w:r w:rsidRPr="00A90932">
        <w:rPr>
          <w:rFonts w:cs="Arial"/>
        </w:rPr>
        <w:tab/>
      </w:r>
      <w:r w:rsidRPr="00A90932">
        <w:rPr>
          <w:rFonts w:eastAsia="宋体" w:cs="Arial" w:hint="eastAsia"/>
          <w:lang w:eastAsia="zh-CN"/>
        </w:rPr>
        <w:t>vivo</w:t>
      </w:r>
    </w:p>
    <w:p w:rsidR="00944B7E" w:rsidRPr="00A90932" w:rsidRDefault="00614A02" w:rsidP="00A90932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A90932">
        <w:rPr>
          <w:rFonts w:cs="Arial"/>
        </w:rPr>
        <w:t>Title:</w:t>
      </w:r>
      <w:r w:rsidRPr="00A90932">
        <w:rPr>
          <w:rFonts w:eastAsia="宋体" w:cs="Arial" w:hint="eastAsia"/>
          <w:lang w:eastAsia="zh-CN"/>
        </w:rPr>
        <w:tab/>
        <w:t xml:space="preserve"> </w:t>
      </w:r>
      <w:r w:rsidRPr="00A90932">
        <w:rPr>
          <w:rFonts w:eastAsia="宋体" w:cs="Arial"/>
          <w:lang w:eastAsia="zh-CN"/>
        </w:rPr>
        <w:t>CCE size and bundling size for NR-PDCCH</w:t>
      </w:r>
      <w:r w:rsidRPr="00A90932">
        <w:rPr>
          <w:rFonts w:eastAsia="宋体" w:cs="Arial" w:hint="eastAsia"/>
          <w:lang w:eastAsia="zh-CN"/>
        </w:rPr>
        <w:t xml:space="preserve"> </w:t>
      </w:r>
    </w:p>
    <w:p w:rsidR="00944B7E" w:rsidRPr="00A90932" w:rsidRDefault="00614A02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A90932">
        <w:rPr>
          <w:rFonts w:cs="Arial"/>
        </w:rPr>
        <w:t>Agenda Item:</w:t>
      </w:r>
      <w:r w:rsidRPr="00A90932">
        <w:rPr>
          <w:rFonts w:cs="Arial"/>
        </w:rPr>
        <w:tab/>
      </w:r>
      <w:r w:rsidRPr="00A90932">
        <w:rPr>
          <w:rFonts w:eastAsia="宋体" w:cs="Arial"/>
          <w:lang w:eastAsia="zh-CN"/>
        </w:rPr>
        <w:t>7.1.3.1.1</w:t>
      </w:r>
    </w:p>
    <w:p w:rsidR="00944B7E" w:rsidRPr="00A90932" w:rsidRDefault="00614A02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A90932">
        <w:rPr>
          <w:rFonts w:cs="Arial"/>
        </w:rPr>
        <w:t>Document for:</w:t>
      </w:r>
      <w:r w:rsidRPr="00A90932">
        <w:rPr>
          <w:rFonts w:cs="Arial"/>
        </w:rPr>
        <w:tab/>
        <w:t>Discussion</w:t>
      </w:r>
      <w:r w:rsidRPr="00A90932">
        <w:rPr>
          <w:rFonts w:eastAsia="宋体" w:cs="Arial"/>
          <w:lang w:eastAsia="zh-CN"/>
        </w:rPr>
        <w:t xml:space="preserve"> and Decision</w:t>
      </w:r>
    </w:p>
    <w:p w:rsidR="00944B7E" w:rsidRDefault="00614A0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944B7E" w:rsidRDefault="00614A02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CCE</w:t>
      </w:r>
      <w:r>
        <w:rPr>
          <w:rFonts w:eastAsia="宋体"/>
          <w:lang w:val="en-GB" w:eastAsia="zh-CN"/>
        </w:rPr>
        <w:t xml:space="preserve"> size and bundling size were considered in the last RAN1 meeting as follows,</w:t>
      </w:r>
    </w:p>
    <w:p w:rsidR="00944B7E" w:rsidRDefault="00614A02">
      <w:pPr>
        <w:rPr>
          <w:rFonts w:eastAsia="MS Mincho"/>
          <w:b/>
          <w:sz w:val="20"/>
          <w:lang w:eastAsia="ja-JP"/>
        </w:rPr>
      </w:pPr>
      <w:r>
        <w:rPr>
          <w:rFonts w:eastAsia="MS Mincho" w:hint="eastAsia"/>
          <w:b/>
          <w:sz w:val="20"/>
          <w:highlight w:val="darkYellow"/>
          <w:lang w:eastAsia="ja-JP"/>
        </w:rPr>
        <w:t>Working assumption</w:t>
      </w:r>
      <w:r>
        <w:rPr>
          <w:rFonts w:eastAsia="MS Mincho"/>
          <w:b/>
          <w:sz w:val="20"/>
          <w:highlight w:val="darkYellow"/>
          <w:lang w:eastAsia="ja-JP"/>
        </w:rPr>
        <w:t>:</w:t>
      </w:r>
    </w:p>
    <w:p w:rsidR="00944B7E" w:rsidRDefault="00614A02">
      <w:pPr>
        <w:numPr>
          <w:ilvl w:val="1"/>
          <w:numId w:val="15"/>
        </w:numPr>
        <w:tabs>
          <w:tab w:val="clear" w:pos="1080"/>
        </w:tabs>
        <w:ind w:leftChars="200" w:left="840"/>
        <w:jc w:val="both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A NR-CCE is defined as 6 REGs</w:t>
      </w:r>
    </w:p>
    <w:p w:rsidR="00944B7E" w:rsidRDefault="00614A02">
      <w:pPr>
        <w:numPr>
          <w:ilvl w:val="2"/>
          <w:numId w:val="9"/>
        </w:numPr>
        <w:tabs>
          <w:tab w:val="clear" w:pos="1800"/>
        </w:tabs>
        <w:ind w:left="1440" w:hanging="357"/>
        <w:jc w:val="both"/>
        <w:rPr>
          <w:rFonts w:eastAsia="MS Mincho"/>
          <w:iCs/>
          <w:sz w:val="20"/>
          <w:szCs w:val="20"/>
          <w:lang w:eastAsia="ja-JP"/>
        </w:rPr>
      </w:pPr>
      <w:r>
        <w:rPr>
          <w:rFonts w:eastAsia="MS Mincho"/>
          <w:iCs/>
          <w:sz w:val="20"/>
          <w:szCs w:val="20"/>
          <w:lang w:eastAsia="ja-JP"/>
        </w:rPr>
        <w:t>Candidate bundle sizes for distributed REG-to-CCE mapping: 2 or 3 REGs if NR-CCE is defined as 6 REGs</w:t>
      </w:r>
    </w:p>
    <w:p w:rsidR="00944B7E" w:rsidRDefault="00614A02">
      <w:pPr>
        <w:numPr>
          <w:ilvl w:val="1"/>
          <w:numId w:val="3"/>
        </w:numPr>
        <w:tabs>
          <w:tab w:val="clear" w:pos="1080"/>
        </w:tabs>
        <w:ind w:leftChars="200" w:left="840"/>
        <w:jc w:val="both"/>
        <w:rPr>
          <w:rFonts w:eastAsia="MS Mincho"/>
          <w:iCs/>
          <w:sz w:val="20"/>
          <w:szCs w:val="20"/>
          <w:lang w:eastAsia="ja-JP"/>
        </w:rPr>
      </w:pPr>
      <w:r>
        <w:rPr>
          <w:rFonts w:eastAsia="MS Mincho"/>
          <w:iCs/>
          <w:sz w:val="20"/>
          <w:szCs w:val="20"/>
          <w:lang w:eastAsia="ja-JP"/>
        </w:rPr>
        <w:t>FFS: impact of the NR-CCE definition on CORESET size, CCE aggregation levels, data resource allocation granularity, etc.</w:t>
      </w:r>
    </w:p>
    <w:p w:rsidR="00944B7E" w:rsidRDefault="00614A02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contribution, further investigation on CCE size and bundling size are provided. For CCE size, the average REG usage for a PDCCH transmission is evaluated according to the S</w:t>
      </w:r>
      <w:r w:rsidR="00F33A73">
        <w:rPr>
          <w:rFonts w:eastAsia="宋体"/>
          <w:lang w:val="en-GB" w:eastAsia="zh-CN"/>
        </w:rPr>
        <w:t>I</w:t>
      </w:r>
      <w:r>
        <w:rPr>
          <w:rFonts w:eastAsia="宋体"/>
          <w:lang w:val="en-GB" w:eastAsia="zh-CN"/>
        </w:rPr>
        <w:t xml:space="preserve">NR distribution from </w:t>
      </w:r>
      <w:r w:rsidR="00A90932">
        <w:rPr>
          <w:rFonts w:eastAsia="宋体" w:hint="eastAsia"/>
          <w:lang w:val="en-GB" w:eastAsia="zh-CN"/>
        </w:rPr>
        <w:t>link</w:t>
      </w:r>
      <w:r>
        <w:rPr>
          <w:rFonts w:eastAsia="宋体"/>
          <w:lang w:val="en-GB" w:eastAsia="zh-CN"/>
        </w:rPr>
        <w:t xml:space="preserve"> level simulation. And for bundling size, the performance comparing different AL are provided. </w:t>
      </w:r>
    </w:p>
    <w:p w:rsidR="00944B7E" w:rsidRDefault="00614A02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:rsidR="00944B7E" w:rsidRDefault="00614A0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CCE Size</w:t>
      </w:r>
    </w:p>
    <w:p w:rsidR="00944B7E" w:rsidRDefault="00614A02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The following assumptions </w:t>
      </w:r>
      <w:r>
        <w:rPr>
          <w:rFonts w:eastAsia="宋体"/>
          <w:lang w:val="en-GB" w:eastAsia="zh-CN"/>
        </w:rPr>
        <w:t xml:space="preserve">and metrics </w:t>
      </w:r>
      <w:r>
        <w:rPr>
          <w:rFonts w:eastAsia="宋体" w:hint="eastAsia"/>
          <w:lang w:val="en-GB" w:eastAsia="zh-CN"/>
        </w:rPr>
        <w:t xml:space="preserve">are </w:t>
      </w:r>
      <w:r>
        <w:rPr>
          <w:rFonts w:eastAsia="宋体"/>
          <w:lang w:val="en-GB" w:eastAsia="zh-CN"/>
        </w:rPr>
        <w:t>considered,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Average number of used REGs for a PDCCH</w:t>
      </w:r>
    </w:p>
    <w:p w:rsidR="00944B7E" w:rsidRDefault="00614A02">
      <w:pPr>
        <w:pStyle w:val="a0"/>
        <w:numPr>
          <w:ilvl w:val="1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n </w:t>
      </w:r>
      <w:r>
        <w:rPr>
          <w:rFonts w:eastAsia="宋体"/>
          <w:lang w:val="en-GB" w:eastAsia="zh-CN"/>
        </w:rPr>
        <w:t xml:space="preserve">order to fairly compare different CCE size, the average number of used REGs for a PDCCH is considered. The average number of used REGs for a PDCCH is derived from averaging the number of used REGs for different AL (aggregation level) weighted by the probability this AL is being used. </w:t>
      </w:r>
    </w:p>
    <w:p w:rsidR="00944B7E" w:rsidRDefault="00614A02">
      <w:pPr>
        <w:pStyle w:val="a0"/>
        <w:numPr>
          <w:ilvl w:val="1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 probability a certain AL is used is derived from the SINR distribution in a cell. Here ideal AL adaptation according to SINR is assumed.</w:t>
      </w:r>
    </w:p>
    <w:p w:rsidR="00944B7E" w:rsidRDefault="00614A02">
      <w:pPr>
        <w:pStyle w:val="a0"/>
        <w:numPr>
          <w:ilvl w:val="1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system-level results for SINR distribution is provided by Phase 1 NR MIMO SLS calibration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_Ref481796963 \r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[3]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 xml:space="preserve">. The mean value of wideband SINR for </w:t>
      </w:r>
      <w:proofErr w:type="spellStart"/>
      <w:r>
        <w:rPr>
          <w:rFonts w:eastAsia="宋体"/>
          <w:lang w:val="en-GB" w:eastAsia="zh-CN"/>
        </w:rPr>
        <w:t>beamforming</w:t>
      </w:r>
      <w:proofErr w:type="spellEnd"/>
      <w:r>
        <w:rPr>
          <w:rFonts w:eastAsia="宋体"/>
          <w:lang w:val="en-GB" w:eastAsia="zh-CN"/>
        </w:rPr>
        <w:t xml:space="preserve"> is used in the calculation (see Annex B). Without loss of generality, Macro-DenseUrban-4G is assumed.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DCI</w:t>
      </w:r>
      <w:r>
        <w:rPr>
          <w:rFonts w:eastAsia="宋体"/>
          <w:lang w:val="en-GB" w:eastAsia="zh-CN"/>
        </w:rPr>
        <w:t xml:space="preserve"> size </w:t>
      </w:r>
    </w:p>
    <w:p w:rsidR="00944B7E" w:rsidRDefault="00614A02">
      <w:pPr>
        <w:pStyle w:val="a0"/>
        <w:numPr>
          <w:ilvl w:val="1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 xml:space="preserve">rom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_Ref481793281 \r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[2]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>, it is estimated that the DCI size may vary from 51 to 77 bits. NR DCI shall support UE-specific configured feature targeting different scenarios, its presence and absence is configurable. The most common used DCI fields are considered in the simulation. Multi-slots scheduling, additional DMRS pattern, aperiodic SRS/CSI-RS request, CIF, QCL and PDSCH mapping are not counted in this comparison.</w:t>
      </w:r>
    </w:p>
    <w:p w:rsidR="00944B7E" w:rsidRDefault="00614A02">
      <w:pPr>
        <w:pStyle w:val="a0"/>
        <w:numPr>
          <w:ilvl w:val="1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summary, 51-bit is assumed as DCI size in the simulation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Single-port </w:t>
      </w:r>
      <w:proofErr w:type="spellStart"/>
      <w:r>
        <w:rPr>
          <w:rFonts w:eastAsia="宋体"/>
          <w:lang w:val="en-GB" w:eastAsia="zh-CN"/>
        </w:rPr>
        <w:t>precoding</w:t>
      </w:r>
      <w:proofErr w:type="spellEnd"/>
      <w:r>
        <w:rPr>
          <w:rFonts w:eastAsia="宋体"/>
          <w:lang w:val="en-GB" w:eastAsia="zh-CN"/>
        </w:rPr>
        <w:t xml:space="preserve"> cycling is considered in the simulation. The DMRS for PDCCH is provided in Annex A.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fr-FR"/>
        </w:rPr>
        <w:t>Distributed</w:t>
      </w:r>
      <w:r>
        <w:rPr>
          <w:rFonts w:eastAsia="宋体" w:hint="eastAsia"/>
          <w:lang w:val="fr-FR"/>
        </w:rPr>
        <w:t xml:space="preserve"> </w:t>
      </w:r>
      <w:r>
        <w:rPr>
          <w:rFonts w:eastAsia="宋体"/>
          <w:lang w:val="fr-FR"/>
        </w:rPr>
        <w:t>mapping is considered for CCE-to-REG mapping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szCs w:val="20"/>
        </w:rPr>
        <w:t>3 Km</w:t>
      </w:r>
      <w:r>
        <w:rPr>
          <w:rFonts w:eastAsia="宋体" w:hint="eastAsia"/>
          <w:szCs w:val="20"/>
          <w:lang w:eastAsia="zh-CN"/>
        </w:rPr>
        <w:t>/</w:t>
      </w:r>
      <w:r>
        <w:rPr>
          <w:szCs w:val="20"/>
        </w:rPr>
        <w:t>h</w:t>
      </w:r>
      <w:r>
        <w:rPr>
          <w:rFonts w:eastAsia="宋体" w:hint="eastAsia"/>
          <w:szCs w:val="20"/>
          <w:lang w:eastAsia="zh-CN"/>
        </w:rPr>
        <w:t>, TDL-C, 300ns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szCs w:val="20"/>
          <w:lang w:eastAsia="zh-CN"/>
        </w:rPr>
        <w:t>Annex A provides the other simulation assumptions</w:t>
      </w:r>
    </w:p>
    <w:p w:rsidR="00944B7E" w:rsidRDefault="00944B7E">
      <w:pPr>
        <w:pStyle w:val="a0"/>
        <w:jc w:val="center"/>
        <w:rPr>
          <w:rFonts w:eastAsia="宋体"/>
          <w:lang w:val="en-GB" w:eastAsia="zh-CN"/>
        </w:rPr>
      </w:pPr>
    </w:p>
    <w:p w:rsidR="00944B7E" w:rsidRDefault="00614A02">
      <w:pPr>
        <w:pStyle w:val="a0"/>
        <w:jc w:val="center"/>
        <w:rPr>
          <w:rFonts w:eastAsia="宋体"/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1D28BFE" wp14:editId="75515D6C">
            <wp:extent cx="5274310" cy="3955415"/>
            <wp:effectExtent l="0" t="0" r="0" b="0"/>
            <wp:docPr id="1026" name="图片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7E" w:rsidRDefault="00614A02">
      <w:pPr>
        <w:pStyle w:val="af3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>Figure 1. LLS curve for CCE 4 and CCE 6 (AL = 1,2,4,8, 1-port PC, RS with length-2 OCC)</w:t>
      </w:r>
    </w:p>
    <w:p w:rsidR="00944B7E" w:rsidRDefault="00944B7E">
      <w:pPr>
        <w:pStyle w:val="a0"/>
        <w:jc w:val="center"/>
        <w:rPr>
          <w:rFonts w:eastAsia="宋体"/>
          <w:lang w:val="en-GB" w:eastAsia="zh-CN"/>
        </w:rPr>
      </w:pPr>
    </w:p>
    <w:p w:rsidR="00944B7E" w:rsidRDefault="00614A02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bookmarkStart w:id="2" w:name="OLE_LINK17"/>
      <w:r>
        <w:rPr>
          <w:rFonts w:ascii="Times" w:eastAsia="宋体" w:hAnsi="Times"/>
          <w:sz w:val="20"/>
          <w:lang w:val="fr-FR" w:eastAsia="zh-CN"/>
        </w:rPr>
        <w:t>According to the link level curve in Figure 1, a further analysis on the average number of used REGs for a PDCCH is provided as follows,</w:t>
      </w:r>
      <w:bookmarkEnd w:id="2"/>
    </w:p>
    <w:p w:rsidR="00944B7E" w:rsidRDefault="00614A02">
      <w:pPr>
        <w:pStyle w:val="af3"/>
        <w:spacing w:before="240" w:after="240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 xml:space="preserve">Table 1. Average number of used REGs without </w:t>
      </w:r>
      <w:proofErr w:type="spellStart"/>
      <w:r>
        <w:rPr>
          <w:rFonts w:ascii="Arial" w:hAnsi="Arial" w:cs="Times New Roman"/>
          <w:b/>
          <w:sz w:val="18"/>
          <w:szCs w:val="20"/>
          <w:lang w:val="en-GB"/>
        </w:rPr>
        <w:t>beamforming</w:t>
      </w:r>
      <w:proofErr w:type="spell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1417"/>
        <w:gridCol w:w="1418"/>
        <w:gridCol w:w="1417"/>
        <w:gridCol w:w="1418"/>
      </w:tblGrid>
      <w:tr w:rsidR="00944B7E">
        <w:trPr>
          <w:trHeight w:val="303"/>
          <w:jc w:val="center"/>
        </w:trPr>
        <w:tc>
          <w:tcPr>
            <w:tcW w:w="19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B7E" w:rsidRDefault="00614A02">
            <w:pPr>
              <w:rPr>
                <w:rFonts w:eastAsia="宋体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宋体"/>
                <w:b/>
                <w:color w:val="000000"/>
                <w:sz w:val="20"/>
                <w:szCs w:val="20"/>
                <w:lang w:eastAsia="zh-CN"/>
              </w:rPr>
              <w:t>W</w:t>
            </w:r>
            <w:r w:rsidR="00192AB7">
              <w:rPr>
                <w:rFonts w:eastAsia="宋体" w:hint="eastAsia"/>
                <w:b/>
                <w:color w:val="000000"/>
                <w:sz w:val="20"/>
                <w:szCs w:val="20"/>
                <w:lang w:eastAsia="zh-CN"/>
              </w:rPr>
              <w:t>/o</w:t>
            </w:r>
            <w:r>
              <w:rPr>
                <w:rFonts w:eastAsia="宋体" w:hint="eastAsia"/>
                <w:b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b/>
                <w:color w:val="000000"/>
                <w:sz w:val="20"/>
                <w:szCs w:val="20"/>
                <w:lang w:eastAsia="zh-CN"/>
              </w:rPr>
              <w:t>BF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CCE = 4 REGs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CCE = 6 REGs</w:t>
            </w:r>
          </w:p>
        </w:tc>
      </w:tr>
      <w:tr w:rsidR="00944B7E">
        <w:trPr>
          <w:trHeight w:val="293"/>
          <w:jc w:val="center"/>
        </w:trPr>
        <w:tc>
          <w:tcPr>
            <w:tcW w:w="19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B7E" w:rsidRDefault="00944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Required SNR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Percentage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Required SNR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Percentage</w:t>
            </w:r>
          </w:p>
        </w:tc>
      </w:tr>
      <w:tr w:rsidR="00944B7E">
        <w:trPr>
          <w:trHeight w:val="293"/>
          <w:jc w:val="center"/>
        </w:trPr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AL=1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14.8183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8.5441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21%</w:t>
            </w:r>
          </w:p>
        </w:tc>
      </w:tr>
      <w:tr w:rsidR="00944B7E">
        <w:trPr>
          <w:trHeight w:val="293"/>
          <w:jc w:val="center"/>
        </w:trPr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AL=2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34%</w:t>
            </w:r>
          </w:p>
        </w:tc>
      </w:tr>
      <w:tr w:rsidR="00944B7E">
        <w:trPr>
          <w:trHeight w:val="293"/>
          <w:jc w:val="center"/>
        </w:trPr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AL=4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-0.3706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-2.2602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33%</w:t>
            </w:r>
          </w:p>
        </w:tc>
      </w:tr>
      <w:tr w:rsidR="00944B7E">
        <w:trPr>
          <w:trHeight w:val="293"/>
          <w:jc w:val="center"/>
        </w:trPr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AL=8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-3.9075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-5.4094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10.5%</w:t>
            </w:r>
          </w:p>
        </w:tc>
      </w:tr>
      <w:tr w:rsidR="00944B7E">
        <w:trPr>
          <w:trHeight w:val="293"/>
          <w:jc w:val="center"/>
        </w:trPr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Failed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B7E" w:rsidRDefault="00944B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B7E" w:rsidRDefault="00944B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1.5%</w:t>
            </w:r>
          </w:p>
        </w:tc>
      </w:tr>
      <w:tr w:rsidR="00944B7E">
        <w:trPr>
          <w:trHeight w:val="303"/>
          <w:jc w:val="center"/>
        </w:trPr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Average # of REGs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14.84 REGs  (100%)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18.30 REGs (123%)</w:t>
            </w:r>
          </w:p>
        </w:tc>
      </w:tr>
    </w:tbl>
    <w:p w:rsidR="00944B7E" w:rsidRDefault="00614A02">
      <w:pPr>
        <w:pStyle w:val="af3"/>
        <w:spacing w:before="240" w:after="240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 xml:space="preserve">Table 2. Average number of used REGs with </w:t>
      </w:r>
      <w:proofErr w:type="spellStart"/>
      <w:r>
        <w:rPr>
          <w:rFonts w:ascii="Arial" w:hAnsi="Arial" w:cs="Times New Roman"/>
          <w:b/>
          <w:sz w:val="18"/>
          <w:szCs w:val="20"/>
          <w:lang w:val="en-GB"/>
        </w:rPr>
        <w:t>beamforming</w:t>
      </w:r>
      <w:proofErr w:type="spellEnd"/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000"/>
        <w:gridCol w:w="1417"/>
        <w:gridCol w:w="1418"/>
        <w:gridCol w:w="1417"/>
        <w:gridCol w:w="1418"/>
      </w:tblGrid>
      <w:tr w:rsidR="00944B7E">
        <w:trPr>
          <w:trHeight w:val="303"/>
          <w:jc w:val="center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7E" w:rsidRDefault="00192AB7">
            <w:pPr>
              <w:rPr>
                <w:rFonts w:eastAsia="宋体"/>
                <w:b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宋体" w:hint="eastAsia"/>
                <w:b/>
                <w:color w:val="000000"/>
                <w:sz w:val="20"/>
                <w:szCs w:val="20"/>
                <w:lang w:val="en-GB" w:eastAsia="zh-CN"/>
              </w:rPr>
              <w:t>W/</w:t>
            </w:r>
            <w:r w:rsidR="00614A02">
              <w:rPr>
                <w:rFonts w:eastAsia="宋体" w:hint="eastAsia"/>
                <w:b/>
                <w:color w:val="000000"/>
                <w:sz w:val="20"/>
                <w:szCs w:val="20"/>
                <w:lang w:val="en-GB" w:eastAsia="zh-CN"/>
              </w:rPr>
              <w:t xml:space="preserve"> BF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CCE = 4 REGs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CCE = 6 REGs</w:t>
            </w:r>
          </w:p>
        </w:tc>
      </w:tr>
      <w:tr w:rsidR="00944B7E">
        <w:trPr>
          <w:trHeight w:val="293"/>
          <w:jc w:val="center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7E" w:rsidRDefault="00944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Required SNR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Percentage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Required SNR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Percentage</w:t>
            </w:r>
          </w:p>
        </w:tc>
      </w:tr>
      <w:tr w:rsidR="00944B7E">
        <w:trPr>
          <w:trHeight w:val="293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AL=1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14.8183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8.5441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92%</w:t>
            </w:r>
          </w:p>
        </w:tc>
      </w:tr>
      <w:tr w:rsidR="00944B7E">
        <w:trPr>
          <w:trHeight w:val="293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AL=2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4.2078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6.5%</w:t>
            </w:r>
          </w:p>
        </w:tc>
      </w:tr>
      <w:tr w:rsidR="00944B7E">
        <w:trPr>
          <w:trHeight w:val="293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AL=4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tabs>
                <w:tab w:val="left" w:pos="45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-0.3706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-2.2602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0.3%</w:t>
            </w:r>
          </w:p>
        </w:tc>
      </w:tr>
      <w:tr w:rsidR="00944B7E">
        <w:trPr>
          <w:trHeight w:val="293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AL=8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-3.9075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-5.4094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0.2%</w:t>
            </w:r>
          </w:p>
        </w:tc>
      </w:tr>
      <w:tr w:rsidR="00944B7E">
        <w:trPr>
          <w:trHeight w:val="303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Failed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7E" w:rsidRDefault="00944B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7E" w:rsidRDefault="00944B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44B7E">
        <w:trPr>
          <w:trHeight w:val="303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Average # of  REGs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5.56 REGs (100%)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6.468 REGs (116%)</w:t>
            </w:r>
          </w:p>
        </w:tc>
      </w:tr>
    </w:tbl>
    <w:p w:rsidR="00944B7E" w:rsidRDefault="00614A02">
      <w:pPr>
        <w:spacing w:after="120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 w:hint="eastAsia"/>
          <w:sz w:val="20"/>
          <w:lang w:val="fr-FR" w:eastAsia="zh-CN"/>
        </w:rPr>
        <w:lastRenderedPageBreak/>
        <w:t>From the results, it is shown that the control resource overhead for CCE = 6 is much higher than CCE =</w:t>
      </w:r>
      <w:r>
        <w:rPr>
          <w:rFonts w:ascii="Times" w:eastAsia="宋体" w:hAnsi="Times"/>
          <w:sz w:val="20"/>
          <w:lang w:val="fr-FR" w:eastAsia="zh-CN"/>
        </w:rPr>
        <w:t xml:space="preserve"> </w:t>
      </w:r>
      <w:r>
        <w:rPr>
          <w:rFonts w:ascii="Times" w:eastAsia="宋体" w:hAnsi="Times" w:hint="eastAsia"/>
          <w:sz w:val="20"/>
          <w:lang w:val="fr-FR" w:eastAsia="zh-CN"/>
        </w:rPr>
        <w:t xml:space="preserve">4. </w:t>
      </w:r>
    </w:p>
    <w:p w:rsidR="00944B7E" w:rsidRDefault="00614A02">
      <w:pPr>
        <w:pStyle w:val="af3"/>
        <w:numPr>
          <w:ilvl w:val="0"/>
          <w:numId w:val="19"/>
        </w:numPr>
        <w:spacing w:after="120"/>
        <w:ind w:firstLineChars="0"/>
        <w:rPr>
          <w:rFonts w:ascii="Times" w:hAnsi="Times"/>
          <w:sz w:val="20"/>
          <w:lang w:val="fr-FR"/>
        </w:rPr>
      </w:pPr>
      <w:r>
        <w:rPr>
          <w:rFonts w:ascii="Times" w:hAnsi="Times"/>
          <w:sz w:val="20"/>
          <w:lang w:val="fr-FR"/>
        </w:rPr>
        <w:t>For beamforming PDCCH case, CCE=6 costs 16% additional overhead than CCE=4.</w:t>
      </w:r>
    </w:p>
    <w:p w:rsidR="00944B7E" w:rsidRDefault="00614A02">
      <w:pPr>
        <w:pStyle w:val="af3"/>
        <w:numPr>
          <w:ilvl w:val="0"/>
          <w:numId w:val="19"/>
        </w:numPr>
        <w:spacing w:after="120"/>
        <w:ind w:firstLineChars="0"/>
        <w:rPr>
          <w:rFonts w:ascii="Times" w:hAnsi="Times"/>
          <w:sz w:val="20"/>
          <w:lang w:val="fr-FR"/>
        </w:rPr>
      </w:pPr>
      <w:r>
        <w:rPr>
          <w:rFonts w:ascii="Times" w:hAnsi="Times"/>
          <w:sz w:val="20"/>
          <w:lang w:val="fr-FR"/>
        </w:rPr>
        <w:t>For non-beamforming PDCCH case, CCE=6 costs 23% additional overhead than CCE=4.</w:t>
      </w:r>
    </w:p>
    <w:p w:rsidR="00944B7E" w:rsidRDefault="00614A02">
      <w:pPr>
        <w:spacing w:after="120"/>
        <w:rPr>
          <w:rFonts w:ascii="Times" w:eastAsia="宋体" w:hAnsi="Times"/>
          <w:b/>
          <w:sz w:val="20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 xml:space="preserve">Proposal 1: </w:t>
      </w:r>
      <w:r>
        <w:rPr>
          <w:rFonts w:ascii="Times" w:eastAsia="宋体" w:hAnsi="Times" w:hint="eastAsia"/>
          <w:b/>
          <w:sz w:val="20"/>
          <w:lang w:val="fr-FR" w:eastAsia="zh-CN"/>
        </w:rPr>
        <w:t xml:space="preserve">Reconsider </w:t>
      </w:r>
      <w:r>
        <w:rPr>
          <w:rFonts w:ascii="Times" w:eastAsia="宋体" w:hAnsi="Times"/>
          <w:b/>
          <w:sz w:val="20"/>
          <w:lang w:val="fr-FR" w:eastAsia="zh-CN"/>
        </w:rPr>
        <w:t xml:space="preserve">the CCE size of NR PDCCH. </w:t>
      </w:r>
      <w:r>
        <w:rPr>
          <w:rFonts w:ascii="Times" w:eastAsia="宋体" w:hAnsi="Times" w:hint="eastAsia"/>
          <w:b/>
          <w:sz w:val="20"/>
          <w:lang w:val="fr-FR" w:eastAsia="zh-CN"/>
        </w:rPr>
        <w:t xml:space="preserve">From resource utilization perpestive, </w:t>
      </w:r>
      <w:r>
        <w:rPr>
          <w:rFonts w:ascii="Times" w:eastAsia="宋体" w:hAnsi="Times"/>
          <w:b/>
          <w:sz w:val="20"/>
          <w:lang w:val="fr-FR" w:eastAsia="zh-CN"/>
        </w:rPr>
        <w:t>we propose that a NR-CCE is defined as 4 REGs.</w:t>
      </w:r>
    </w:p>
    <w:p w:rsidR="00944B7E" w:rsidRDefault="00614A0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Bundling Size</w:t>
      </w:r>
    </w:p>
    <w:p w:rsidR="00944B7E" w:rsidRDefault="00614A02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The following assumptions are </w:t>
      </w:r>
      <w:r>
        <w:rPr>
          <w:rFonts w:eastAsia="宋体"/>
          <w:lang w:val="en-GB" w:eastAsia="zh-CN"/>
        </w:rPr>
        <w:t>considered,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DCI</w:t>
      </w:r>
      <w:r>
        <w:rPr>
          <w:rFonts w:eastAsia="宋体"/>
          <w:lang w:val="en-GB" w:eastAsia="zh-CN"/>
        </w:rPr>
        <w:t xml:space="preserve"> size = 76-bits (including 16-bit CRC)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Single-port </w:t>
      </w:r>
      <w:proofErr w:type="spellStart"/>
      <w:r>
        <w:rPr>
          <w:rFonts w:eastAsia="宋体"/>
          <w:lang w:val="en-GB" w:eastAsia="zh-CN"/>
        </w:rPr>
        <w:t>precoding</w:t>
      </w:r>
      <w:proofErr w:type="spellEnd"/>
      <w:r>
        <w:rPr>
          <w:rFonts w:eastAsia="宋体"/>
          <w:lang w:val="en-GB" w:eastAsia="zh-CN"/>
        </w:rPr>
        <w:t xml:space="preserve"> cycling is considered in the simulation. The DMRS for PDCCH is provided in Annex A.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lang w:val="fr-FR"/>
        </w:rPr>
        <w:t>Distributed</w:t>
      </w:r>
      <w:r>
        <w:rPr>
          <w:rFonts w:eastAsia="宋体" w:hint="eastAsia"/>
          <w:lang w:val="fr-FR"/>
        </w:rPr>
        <w:t xml:space="preserve"> </w:t>
      </w:r>
      <w:r>
        <w:rPr>
          <w:rFonts w:eastAsia="宋体"/>
          <w:lang w:val="fr-FR"/>
        </w:rPr>
        <w:t>mapping is considered for CCE-to-REG mapping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szCs w:val="20"/>
        </w:rPr>
        <w:t>3 Km</w:t>
      </w:r>
      <w:r>
        <w:rPr>
          <w:rFonts w:eastAsia="宋体" w:hint="eastAsia"/>
          <w:szCs w:val="20"/>
          <w:lang w:eastAsia="zh-CN"/>
        </w:rPr>
        <w:t>/</w:t>
      </w:r>
      <w:r>
        <w:rPr>
          <w:szCs w:val="20"/>
        </w:rPr>
        <w:t>h</w:t>
      </w:r>
      <w:r>
        <w:rPr>
          <w:rFonts w:eastAsia="宋体" w:hint="eastAsia"/>
          <w:szCs w:val="20"/>
          <w:lang w:eastAsia="zh-CN"/>
        </w:rPr>
        <w:t>, TDL-C, 300ns</w:t>
      </w:r>
    </w:p>
    <w:p w:rsidR="00944B7E" w:rsidRDefault="00614A02">
      <w:pPr>
        <w:pStyle w:val="a0"/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szCs w:val="20"/>
          <w:lang w:eastAsia="zh-CN"/>
        </w:rPr>
        <w:t>Annex A provides the other simulation assumptions</w:t>
      </w:r>
    </w:p>
    <w:p w:rsidR="00944B7E" w:rsidRDefault="00614A02">
      <w:pPr>
        <w:pStyle w:val="a0"/>
        <w:jc w:val="center"/>
        <w:rPr>
          <w:rFonts w:eastAsia="宋体"/>
          <w:b/>
          <w:lang w:val="fr-FR" w:eastAsia="zh-CN"/>
        </w:rPr>
      </w:pPr>
      <w:r>
        <w:rPr>
          <w:rFonts w:eastAsia="宋体"/>
          <w:b/>
          <w:noProof/>
          <w:lang w:eastAsia="zh-CN"/>
        </w:rPr>
        <w:drawing>
          <wp:inline distT="0" distB="0" distL="0" distR="0" wp14:anchorId="4D79E362" wp14:editId="5814F6D9">
            <wp:extent cx="5598543" cy="2856079"/>
            <wp:effectExtent l="0" t="0" r="0" b="0"/>
            <wp:docPr id="1027" name="图片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/>
                  </pic:nvPicPr>
                  <pic:blipFill>
                    <a:blip r:embed="rId10" cstate="print"/>
                    <a:srcRect l="9323" t="4221" r="8022" b="5360"/>
                    <a:stretch/>
                  </pic:blipFill>
                  <pic:spPr>
                    <a:xfrm>
                      <a:off x="0" y="0"/>
                      <a:ext cx="5598543" cy="285607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7E" w:rsidRDefault="00614A02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2.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Performance for NR-PDCCH with different ALs and bundling sizes</w:t>
      </w:r>
    </w:p>
    <w:p w:rsidR="00944B7E" w:rsidRDefault="00614A02">
      <w:pPr>
        <w:spacing w:after="120"/>
        <w:jc w:val="both"/>
        <w:rPr>
          <w:rFonts w:ascii="Times" w:eastAsia="宋体" w:hAnsi="Times"/>
          <w:sz w:val="20"/>
          <w:lang w:val="fr-FR"/>
        </w:rPr>
      </w:pPr>
      <w:r>
        <w:rPr>
          <w:rFonts w:ascii="Times" w:eastAsia="宋体" w:hAnsi="Times"/>
          <w:sz w:val="20"/>
          <w:lang w:val="fr-FR" w:eastAsia="zh-CN"/>
        </w:rPr>
        <w:t xml:space="preserve">It </w:t>
      </w:r>
      <w:r>
        <w:rPr>
          <w:rFonts w:ascii="Times" w:eastAsia="宋体" w:hAnsi="Times" w:hint="eastAsia"/>
          <w:sz w:val="20"/>
          <w:lang w:val="fr-FR" w:eastAsia="zh-CN"/>
        </w:rPr>
        <w:t>can be obser</w:t>
      </w:r>
      <w:r>
        <w:rPr>
          <w:rFonts w:ascii="Times" w:eastAsia="宋体" w:hAnsi="Times"/>
          <w:sz w:val="20"/>
          <w:lang w:val="fr-FR" w:eastAsia="zh-CN"/>
        </w:rPr>
        <w:t>v</w:t>
      </w:r>
      <w:r>
        <w:rPr>
          <w:rFonts w:ascii="Times" w:eastAsia="宋体" w:hAnsi="Times" w:hint="eastAsia"/>
          <w:sz w:val="20"/>
          <w:lang w:val="fr-FR" w:eastAsia="zh-CN"/>
        </w:rPr>
        <w:t xml:space="preserve">ed </w:t>
      </w:r>
      <w:r>
        <w:rPr>
          <w:rFonts w:ascii="Times" w:eastAsia="宋体" w:hAnsi="Times"/>
          <w:sz w:val="20"/>
          <w:lang w:val="fr-FR" w:eastAsia="zh-CN"/>
        </w:rPr>
        <w:t xml:space="preserve">from Figure 2 </w:t>
      </w:r>
      <w:r>
        <w:rPr>
          <w:rFonts w:ascii="Times" w:eastAsia="宋体" w:hAnsi="Times" w:hint="eastAsia"/>
          <w:sz w:val="20"/>
          <w:lang w:val="fr-FR" w:eastAsia="zh-CN"/>
        </w:rPr>
        <w:t xml:space="preserve">that </w:t>
      </w:r>
      <w:r>
        <w:rPr>
          <w:rFonts w:ascii="Times" w:eastAsia="宋体" w:hAnsi="Times"/>
          <w:sz w:val="20"/>
          <w:lang w:val="fr-FR" w:eastAsia="zh-CN"/>
        </w:rPr>
        <w:t xml:space="preserve">for the </w:t>
      </w:r>
      <w:r>
        <w:rPr>
          <w:rFonts w:ascii="Times" w:eastAsia="宋体" w:hAnsi="Times"/>
          <w:sz w:val="20"/>
          <w:lang w:val="fr-FR"/>
        </w:rPr>
        <w:t>precoding cycling scheme, distributed</w:t>
      </w:r>
      <w:r>
        <w:rPr>
          <w:rFonts w:ascii="Times" w:eastAsia="宋体" w:hAnsi="Times" w:hint="eastAsia"/>
          <w:sz w:val="20"/>
          <w:lang w:val="fr-FR"/>
        </w:rPr>
        <w:t xml:space="preserve"> </w:t>
      </w:r>
      <w:r>
        <w:rPr>
          <w:rFonts w:ascii="Times" w:eastAsia="宋体" w:hAnsi="Times"/>
          <w:sz w:val="20"/>
          <w:lang w:val="fr-FR"/>
        </w:rPr>
        <w:t>resource allocation with different aggregation levels,</w:t>
      </w:r>
    </w:p>
    <w:p w:rsidR="00944B7E" w:rsidRDefault="00614A02">
      <w:pPr>
        <w:pStyle w:val="af3"/>
        <w:widowControl w:val="0"/>
        <w:numPr>
          <w:ilvl w:val="0"/>
          <w:numId w:val="12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AL=1, bundling size =1 outperforms others</w:t>
      </w:r>
    </w:p>
    <w:p w:rsidR="00944B7E" w:rsidRDefault="00614A02">
      <w:pPr>
        <w:pStyle w:val="af3"/>
        <w:widowControl w:val="0"/>
        <w:numPr>
          <w:ilvl w:val="0"/>
          <w:numId w:val="12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AL=2, bundling size =2 outperforms others</w:t>
      </w:r>
    </w:p>
    <w:p w:rsidR="00944B7E" w:rsidRDefault="00614A02">
      <w:pPr>
        <w:pStyle w:val="af3"/>
        <w:widowControl w:val="0"/>
        <w:numPr>
          <w:ilvl w:val="0"/>
          <w:numId w:val="12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AL=3, bundling size =2 outperforms others</w:t>
      </w:r>
    </w:p>
    <w:p w:rsidR="00944B7E" w:rsidRDefault="00614A02">
      <w:pPr>
        <w:pStyle w:val="af3"/>
        <w:widowControl w:val="0"/>
        <w:numPr>
          <w:ilvl w:val="0"/>
          <w:numId w:val="12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AL=4, bundling size =3 outperforms others</w:t>
      </w:r>
    </w:p>
    <w:p w:rsidR="00944B7E" w:rsidRDefault="00614A02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 w:eastAsia="zh-CN"/>
        </w:rPr>
        <w:t>Proposal 2 </w:t>
      </w:r>
      <w:r>
        <w:rPr>
          <w:rFonts w:ascii="Times" w:eastAsia="宋体" w:hAnsi="Times"/>
          <w:b/>
          <w:sz w:val="20"/>
          <w:lang w:val="fr-FR"/>
        </w:rPr>
        <w:t>: For the precoding cycling scheme, different REG-bundling sizes for different aggregation levels</w:t>
      </w:r>
      <w:r w:rsidR="00F33A73">
        <w:rPr>
          <w:rFonts w:ascii="Times" w:eastAsia="宋体" w:hAnsi="Times"/>
          <w:b/>
          <w:sz w:val="20"/>
          <w:lang w:val="fr-FR"/>
        </w:rPr>
        <w:t xml:space="preserve"> shall be considered.</w:t>
      </w:r>
    </w:p>
    <w:p w:rsidR="00944B7E" w:rsidRDefault="00614A0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944B7E" w:rsidRDefault="00614A02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 xml:space="preserve">This contribution discusses some considerations on NR CCE size and bundling size. In summary, it is proposed that, </w:t>
      </w:r>
    </w:p>
    <w:p w:rsidR="00944B7E" w:rsidRDefault="00614A02">
      <w:pPr>
        <w:spacing w:after="120"/>
        <w:rPr>
          <w:rFonts w:ascii="Times" w:eastAsia="宋体" w:hAnsi="Times"/>
          <w:b/>
          <w:sz w:val="20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 xml:space="preserve">Proposal 1: </w:t>
      </w:r>
      <w:r>
        <w:rPr>
          <w:rFonts w:ascii="Times" w:eastAsia="宋体" w:hAnsi="Times" w:hint="eastAsia"/>
          <w:b/>
          <w:sz w:val="20"/>
          <w:lang w:val="fr-FR" w:eastAsia="zh-CN"/>
        </w:rPr>
        <w:t xml:space="preserve">Reconsider </w:t>
      </w:r>
      <w:r>
        <w:rPr>
          <w:rFonts w:ascii="Times" w:eastAsia="宋体" w:hAnsi="Times"/>
          <w:b/>
          <w:sz w:val="20"/>
          <w:lang w:val="fr-FR" w:eastAsia="zh-CN"/>
        </w:rPr>
        <w:t xml:space="preserve">the CCE size of NR PDCCH. </w:t>
      </w:r>
      <w:r>
        <w:rPr>
          <w:rFonts w:ascii="Times" w:eastAsia="宋体" w:hAnsi="Times" w:hint="eastAsia"/>
          <w:b/>
          <w:sz w:val="20"/>
          <w:lang w:val="fr-FR" w:eastAsia="zh-CN"/>
        </w:rPr>
        <w:t xml:space="preserve">From resource utilization perpestive, </w:t>
      </w:r>
      <w:r>
        <w:rPr>
          <w:rFonts w:ascii="Times" w:eastAsia="宋体" w:hAnsi="Times"/>
          <w:b/>
          <w:sz w:val="20"/>
          <w:lang w:val="fr-FR" w:eastAsia="zh-CN"/>
        </w:rPr>
        <w:t>we propose that a NR-CCE is defined as 4 REGs.</w:t>
      </w:r>
    </w:p>
    <w:p w:rsidR="00944B7E" w:rsidRDefault="00614A02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 w:eastAsia="zh-CN"/>
        </w:rPr>
        <w:lastRenderedPageBreak/>
        <w:t>Proposal 2 </w:t>
      </w:r>
      <w:r>
        <w:rPr>
          <w:rFonts w:ascii="Times" w:eastAsia="宋体" w:hAnsi="Times"/>
          <w:b/>
          <w:sz w:val="20"/>
          <w:lang w:val="fr-FR"/>
        </w:rPr>
        <w:t xml:space="preserve">: For the precoding cycling scheme, </w:t>
      </w:r>
      <w:r w:rsidR="00F33A73">
        <w:rPr>
          <w:rFonts w:ascii="Times" w:eastAsia="宋体" w:hAnsi="Times"/>
          <w:b/>
          <w:sz w:val="20"/>
          <w:lang w:val="fr-FR"/>
        </w:rPr>
        <w:t>different REG-bundling sizes for different aggregation levels shall be considered.</w:t>
      </w:r>
    </w:p>
    <w:p w:rsidR="00944B7E" w:rsidRDefault="00614A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944B7E" w:rsidRDefault="00614A02">
      <w:pPr>
        <w:pStyle w:val="a0"/>
        <w:numPr>
          <w:ilvl w:val="0"/>
          <w:numId w:val="10"/>
        </w:numPr>
        <w:rPr>
          <w:rFonts w:eastAsia="宋体"/>
          <w:lang w:eastAsia="zh-CN"/>
        </w:rPr>
      </w:pPr>
      <w:bookmarkStart w:id="3" w:name="_Ref473620807"/>
      <w:bookmarkEnd w:id="0"/>
      <w:bookmarkEnd w:id="1"/>
      <w:r>
        <w:rPr>
          <w:rFonts w:eastAsia="宋体" w:hint="eastAsia"/>
          <w:lang w:eastAsia="zh-CN"/>
        </w:rPr>
        <w:t>RAN WG1#8</w:t>
      </w:r>
      <w:r>
        <w:rPr>
          <w:rFonts w:eastAsia="宋体"/>
          <w:lang w:eastAsia="zh-CN"/>
        </w:rPr>
        <w:t>8bis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:rsidR="00944B7E" w:rsidRDefault="00614A02">
      <w:pPr>
        <w:pStyle w:val="a0"/>
        <w:numPr>
          <w:ilvl w:val="0"/>
          <w:numId w:val="10"/>
        </w:numPr>
        <w:rPr>
          <w:rFonts w:eastAsia="宋体"/>
          <w:lang w:eastAsia="zh-CN"/>
        </w:rPr>
      </w:pPr>
      <w:bookmarkStart w:id="4" w:name="_Ref481793281"/>
      <w:r>
        <w:rPr>
          <w:rFonts w:eastAsia="宋体"/>
          <w:lang w:eastAsia="zh-CN"/>
        </w:rPr>
        <w:t>R1-1707234, “DCI content size and compression”, vivo</w:t>
      </w:r>
      <w:bookmarkStart w:id="5" w:name="_GoBack"/>
      <w:bookmarkEnd w:id="4"/>
      <w:bookmarkEnd w:id="5"/>
      <w:r w:rsidR="0028430F" w:rsidRPr="001244D3">
        <w:rPr>
          <w:rFonts w:eastAsia="宋体" w:hint="eastAsia"/>
          <w:kern w:val="2"/>
          <w:szCs w:val="20"/>
          <w:lang w:eastAsia="zh-CN"/>
        </w:rPr>
        <w:t xml:space="preserve">, </w:t>
      </w:r>
      <w:r w:rsidR="0028430F">
        <w:rPr>
          <w:rFonts w:eastAsia="宋体" w:hint="eastAsia"/>
          <w:kern w:val="2"/>
          <w:szCs w:val="20"/>
          <w:lang w:eastAsia="zh-CN"/>
        </w:rPr>
        <w:t xml:space="preserve">RAN1#89, </w:t>
      </w:r>
      <w:r w:rsidR="0028430F" w:rsidRPr="001244D3">
        <w:rPr>
          <w:rFonts w:eastAsia="宋体"/>
          <w:kern w:val="2"/>
          <w:szCs w:val="20"/>
          <w:lang w:eastAsia="zh-CN"/>
        </w:rPr>
        <w:t>Hangzhou, P.R. China 15</w:t>
      </w:r>
      <w:r w:rsidR="0028430F" w:rsidRPr="001244D3">
        <w:rPr>
          <w:rFonts w:eastAsia="宋体"/>
          <w:kern w:val="2"/>
          <w:szCs w:val="20"/>
          <w:vertAlign w:val="superscript"/>
          <w:lang w:eastAsia="zh-CN"/>
        </w:rPr>
        <w:t>th</w:t>
      </w:r>
      <w:r w:rsidR="0028430F" w:rsidRPr="001244D3">
        <w:rPr>
          <w:rFonts w:eastAsia="宋体"/>
          <w:kern w:val="2"/>
          <w:szCs w:val="20"/>
          <w:lang w:eastAsia="zh-CN"/>
        </w:rPr>
        <w:t xml:space="preserve"> </w:t>
      </w:r>
      <w:r w:rsidR="0028430F" w:rsidRPr="001244D3">
        <w:rPr>
          <w:rFonts w:eastAsia="宋体" w:hint="eastAsia"/>
          <w:kern w:val="2"/>
          <w:szCs w:val="20"/>
          <w:lang w:eastAsia="zh-CN"/>
        </w:rPr>
        <w:t>-</w:t>
      </w:r>
      <w:r w:rsidR="0028430F" w:rsidRPr="001244D3">
        <w:rPr>
          <w:rFonts w:eastAsia="宋体"/>
          <w:kern w:val="2"/>
          <w:szCs w:val="20"/>
          <w:lang w:eastAsia="zh-CN"/>
        </w:rPr>
        <w:t xml:space="preserve"> 19</w:t>
      </w:r>
      <w:r w:rsidR="0028430F" w:rsidRPr="001244D3">
        <w:rPr>
          <w:rFonts w:eastAsia="宋体"/>
          <w:kern w:val="2"/>
          <w:szCs w:val="20"/>
          <w:vertAlign w:val="superscript"/>
          <w:lang w:eastAsia="zh-CN"/>
        </w:rPr>
        <w:t>th</w:t>
      </w:r>
      <w:r w:rsidR="0028430F" w:rsidRPr="001244D3">
        <w:rPr>
          <w:rFonts w:eastAsia="宋体"/>
          <w:kern w:val="2"/>
          <w:szCs w:val="20"/>
          <w:lang w:eastAsia="zh-CN"/>
        </w:rPr>
        <w:t xml:space="preserve"> May 2017</w:t>
      </w:r>
    </w:p>
    <w:p w:rsidR="00944B7E" w:rsidRDefault="00614A02">
      <w:pPr>
        <w:pStyle w:val="a0"/>
        <w:numPr>
          <w:ilvl w:val="0"/>
          <w:numId w:val="10"/>
        </w:numPr>
        <w:rPr>
          <w:rFonts w:eastAsia="宋体"/>
          <w:lang w:eastAsia="zh-CN"/>
        </w:rPr>
      </w:pPr>
      <w:bookmarkStart w:id="6" w:name="_Ref481796963"/>
      <w:r>
        <w:rPr>
          <w:rFonts w:eastAsia="宋体" w:hint="eastAsia"/>
          <w:lang w:eastAsia="zh-CN"/>
        </w:rPr>
        <w:t xml:space="preserve">Phase 1 SLS </w:t>
      </w:r>
      <w:r>
        <w:rPr>
          <w:rFonts w:eastAsia="宋体"/>
          <w:lang w:eastAsia="zh-CN"/>
        </w:rPr>
        <w:t>Calibration for NR MIMO, v54</w:t>
      </w:r>
      <w:bookmarkEnd w:id="6"/>
    </w:p>
    <w:bookmarkEnd w:id="3"/>
    <w:p w:rsidR="00944B7E" w:rsidRDefault="00614A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Annex A. Simulation assumptions</w:t>
      </w:r>
    </w:p>
    <w:p w:rsidR="00944B7E" w:rsidRDefault="00614A02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A-1 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944B7E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944B7E" w:rsidRPr="00192AB7" w:rsidRDefault="00614A02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192AB7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944B7E" w:rsidRPr="00192AB7" w:rsidRDefault="00614A02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192AB7">
              <w:rPr>
                <w:b/>
                <w:sz w:val="20"/>
                <w:szCs w:val="20"/>
              </w:rPr>
              <w:t>Assumption</w:t>
            </w:r>
          </w:p>
        </w:tc>
      </w:tr>
      <w:tr w:rsidR="00944B7E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614A02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614A02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>
              <w:rPr>
                <w:sz w:val="20"/>
                <w:szCs w:val="20"/>
              </w:rPr>
              <w:t xml:space="preserve"> MHz</w:t>
            </w:r>
          </w:p>
        </w:tc>
      </w:tr>
      <w:tr w:rsidR="00944B7E">
        <w:trPr>
          <w:trHeight w:val="30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614A02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Channel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 Km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>
              <w:rPr>
                <w:sz w:val="20"/>
                <w:szCs w:val="20"/>
              </w:rPr>
              <w:t>h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, TDL-C, 300ns</w:t>
            </w:r>
          </w:p>
        </w:tc>
      </w:tr>
      <w:tr w:rsidR="00944B7E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Channel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>deal MMSE</w:t>
            </w:r>
          </w:p>
        </w:tc>
      </w:tr>
      <w:tr w:rsidR="00944B7E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R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One OFDM symbol is reserved for CCE mapping</w:t>
            </w:r>
          </w:p>
        </w:tc>
      </w:tr>
      <w:tr w:rsidR="00944B7E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944B7E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ne PRB for one REG</w:t>
            </w:r>
          </w:p>
        </w:tc>
      </w:tr>
      <w:tr w:rsidR="00944B7E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614A02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35-bit /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60-</w:t>
            </w:r>
            <w:r>
              <w:rPr>
                <w:rFonts w:eastAsia="宋体"/>
                <w:sz w:val="20"/>
                <w:szCs w:val="20"/>
                <w:lang w:eastAsia="zh-CN"/>
              </w:rPr>
              <w:t>bit payload, 16-bit CRC</w:t>
            </w:r>
          </w:p>
        </w:tc>
      </w:tr>
      <w:tr w:rsidR="00944B7E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oding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Polar </w:t>
            </w:r>
            <w:r>
              <w:rPr>
                <w:sz w:val="20"/>
                <w:szCs w:val="20"/>
              </w:rPr>
              <w:t>Code</w:t>
            </w:r>
          </w:p>
        </w:tc>
      </w:tr>
      <w:tr w:rsidR="00944B7E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QPSK, Max-log-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likehood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algorithm</w:t>
            </w:r>
          </w:p>
        </w:tc>
      </w:tr>
      <w:tr w:rsidR="00944B7E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944B7E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="宋体"/>
                <w:sz w:val="20"/>
                <w:szCs w:val="20"/>
                <w:lang w:eastAsia="zh-CN"/>
              </w:rPr>
              <w:t>y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ormal CP 160Ts + 2048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=1/30.72us </w:t>
            </w:r>
          </w:p>
        </w:tc>
      </w:tr>
      <w:tr w:rsidR="00944B7E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  <w:tr w:rsidR="00944B7E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1-port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P</w:t>
            </w:r>
            <w:r>
              <w:rPr>
                <w:rFonts w:eastAsia="宋体"/>
                <w:sz w:val="20"/>
                <w:szCs w:val="20"/>
                <w:lang w:eastAsia="zh-CN"/>
              </w:rPr>
              <w:t>recoder</w:t>
            </w:r>
            <w:proofErr w:type="spellEnd"/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cycling, </w:t>
            </w:r>
            <w:r>
              <w:rPr>
                <w:rFonts w:eastAsia="宋体"/>
                <w:sz w:val="20"/>
                <w:szCs w:val="20"/>
                <w:lang w:eastAsia="zh-CN"/>
              </w:rPr>
              <w:t>OCC = [1 -1], RS pattern in Figure A1-1</w:t>
            </w:r>
          </w:p>
        </w:tc>
      </w:tr>
      <w:tr w:rsidR="00944B7E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CCE size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7E" w:rsidRDefault="00614A02" w:rsidP="00F33A73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4 / 6 RBs, </w:t>
            </w:r>
            <w:r w:rsidR="00F33A73">
              <w:rPr>
                <w:rFonts w:eastAsia="宋体"/>
                <w:sz w:val="20"/>
                <w:szCs w:val="20"/>
                <w:lang w:eastAsia="zh-CN"/>
              </w:rPr>
              <w:t>1/3 RS overhead</w:t>
            </w:r>
          </w:p>
        </w:tc>
      </w:tr>
    </w:tbl>
    <w:p w:rsidR="00944B7E" w:rsidRDefault="00944B7E">
      <w:pPr>
        <w:pStyle w:val="a0"/>
        <w:rPr>
          <w:rFonts w:eastAsia="宋体"/>
          <w:lang w:eastAsia="zh-CN"/>
        </w:rPr>
      </w:pPr>
    </w:p>
    <w:p w:rsidR="00944B7E" w:rsidRDefault="00614A02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1384300" cy="2489200"/>
            <wp:effectExtent l="0" t="0" r="6350" b="0"/>
            <wp:docPr id="1028" name="图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1384300" cy="2489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7E" w:rsidRDefault="00614A02">
      <w:pPr>
        <w:pStyle w:val="a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Figure A-1. </w:t>
      </w:r>
      <w:r>
        <w:rPr>
          <w:rFonts w:eastAsia="宋体" w:hint="eastAsia"/>
          <w:b/>
          <w:lang w:eastAsia="zh-CN"/>
        </w:rPr>
        <w:t xml:space="preserve">RS </w:t>
      </w:r>
      <w:r>
        <w:rPr>
          <w:rFonts w:eastAsia="宋体"/>
          <w:b/>
          <w:lang w:eastAsia="zh-CN"/>
        </w:rPr>
        <w:t xml:space="preserve">pattern </w:t>
      </w:r>
      <w:r>
        <w:rPr>
          <w:rFonts w:eastAsia="宋体" w:hint="eastAsia"/>
          <w:b/>
          <w:lang w:eastAsia="zh-CN"/>
        </w:rPr>
        <w:t>for PDCCH</w:t>
      </w:r>
    </w:p>
    <w:p w:rsidR="00944B7E" w:rsidRDefault="00944B7E">
      <w:pPr>
        <w:pStyle w:val="a0"/>
        <w:rPr>
          <w:rFonts w:ascii="Arial" w:eastAsia="宋体" w:hAnsi="Arial"/>
          <w:sz w:val="36"/>
          <w:szCs w:val="20"/>
          <w:lang w:val="fr-FR" w:eastAsia="zh-CN"/>
        </w:rPr>
      </w:pPr>
    </w:p>
    <w:p w:rsidR="00944B7E" w:rsidRDefault="00614A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Annex B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-1 cdfplot of Wideband SINR with beamforming</w:t>
      </w:r>
    </w:p>
    <w:p w:rsidR="00944B7E" w:rsidRDefault="00614A02">
      <w:pPr>
        <w:pStyle w:val="a0"/>
        <w:jc w:val="center"/>
        <w:rPr>
          <w:rFonts w:eastAsia="宋体"/>
          <w:b/>
          <w:sz w:val="24"/>
          <w:lang w:val="fr-FR" w:eastAsia="zh-CN"/>
        </w:rPr>
      </w:pPr>
      <w:r>
        <w:rPr>
          <w:rFonts w:eastAsia="宋体" w:hint="eastAsia"/>
          <w:b/>
          <w:sz w:val="24"/>
          <w:lang w:val="fr-FR" w:eastAsia="zh-CN"/>
        </w:rPr>
        <w:t>With Beamforming</w:t>
      </w:r>
    </w:p>
    <w:p w:rsidR="00944B7E" w:rsidRDefault="00614A02">
      <w:pPr>
        <w:pStyle w:val="a0"/>
        <w:rPr>
          <w:rFonts w:ascii="Arial" w:eastAsia="宋体" w:hAnsi="Arial"/>
          <w:sz w:val="36"/>
          <w:szCs w:val="20"/>
          <w:lang w:val="fr-FR" w:eastAsia="zh-CN"/>
        </w:rPr>
      </w:pPr>
      <w:r>
        <w:rPr>
          <w:noProof/>
          <w:sz w:val="15"/>
          <w:lang w:eastAsia="zh-CN"/>
        </w:rPr>
        <w:drawing>
          <wp:inline distT="0" distB="0" distL="114300" distR="114300">
            <wp:extent cx="5733415" cy="3244215"/>
            <wp:effectExtent l="0" t="0" r="0" b="0"/>
            <wp:docPr id="1030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44B7E" w:rsidRDefault="00944B7E">
      <w:pPr>
        <w:pStyle w:val="a0"/>
        <w:jc w:val="center"/>
        <w:rPr>
          <w:rFonts w:eastAsia="宋体"/>
          <w:b/>
          <w:lang w:eastAsia="zh-CN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944B7E">
        <w:trPr>
          <w:trHeight w:val="255"/>
        </w:trPr>
        <w:tc>
          <w:tcPr>
            <w:tcW w:w="500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noWrap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500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noWrap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  <w:tc>
          <w:tcPr>
            <w:tcW w:w="500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500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  <w:tc>
          <w:tcPr>
            <w:tcW w:w="500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500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  <w:tc>
          <w:tcPr>
            <w:tcW w:w="500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500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  <w:tc>
          <w:tcPr>
            <w:tcW w:w="500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500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sz="18" w:space="0" w:color="000000"/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-2.78</w:t>
            </w:r>
          </w:p>
        </w:tc>
        <w:tc>
          <w:tcPr>
            <w:tcW w:w="500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500" w:type="pc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11.75</w:t>
            </w:r>
          </w:p>
        </w:tc>
        <w:tc>
          <w:tcPr>
            <w:tcW w:w="500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500" w:type="pc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16.13</w:t>
            </w:r>
          </w:p>
        </w:tc>
        <w:tc>
          <w:tcPr>
            <w:tcW w:w="500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500" w:type="pc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20.34</w:t>
            </w:r>
          </w:p>
        </w:tc>
        <w:tc>
          <w:tcPr>
            <w:tcW w:w="500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500" w:type="pc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26.08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3.59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12.00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16.34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20.56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26.38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5.12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12.26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16.54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20.82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26.72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5.85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12.49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16.74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21.05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27.08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6.55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12.72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16.95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21.32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27.57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7.10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12.92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17.13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21.56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27.94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7.64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13.13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17.32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21.80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28.42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8.07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13.33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17.53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22.05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28.86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8.45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13.53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17.74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22.29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29.42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8.74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13.76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17.93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22.54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29.95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9.07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14.00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18.12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22.81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90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30.51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9.43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14.20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18.34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23.11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91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31.12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9.71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14.41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18.57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23.44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92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31.71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10.00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14.61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18.79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23.79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93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32.36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10.27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14.87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19.02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24.12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94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33.12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10.53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15.09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19.24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24.40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95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33.84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10.81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15.30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19.47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24.73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96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34.69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11.06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15.50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19.69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25.05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97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35.95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11.26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15.71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19.90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25.37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98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37.79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11.50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15.91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20.12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25.73</w:t>
            </w:r>
          </w:p>
        </w:tc>
        <w:tc>
          <w:tcPr>
            <w:tcW w:w="500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99</w:t>
            </w:r>
          </w:p>
        </w:tc>
        <w:tc>
          <w:tcPr>
            <w:tcW w:w="500" w:type="pct"/>
            <w:tcBorders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40.68</w:t>
            </w:r>
          </w:p>
        </w:tc>
      </w:tr>
      <w:tr w:rsidR="00944B7E">
        <w:trPr>
          <w:trHeight w:val="255"/>
        </w:trPr>
        <w:tc>
          <w:tcPr>
            <w:tcW w:w="500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noWrap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0" w:type="pct"/>
            <w:tcBorders>
              <w:bottom w:val="single" w:sz="18" w:space="0" w:color="000000"/>
              <w:right w:val="single" w:sz="18" w:space="0" w:color="000000"/>
            </w:tcBorders>
            <w:noWrap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0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0" w:type="pct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0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0" w:type="pct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0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0" w:type="pct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0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500" w:type="pct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48.95</w:t>
            </w:r>
          </w:p>
        </w:tc>
      </w:tr>
    </w:tbl>
    <w:p w:rsidR="00944B7E" w:rsidRDefault="00944B7E">
      <w:pPr>
        <w:pStyle w:val="a0"/>
        <w:jc w:val="center"/>
        <w:rPr>
          <w:rFonts w:eastAsia="宋体"/>
          <w:b/>
          <w:lang w:eastAsia="zh-CN"/>
        </w:rPr>
      </w:pPr>
    </w:p>
    <w:p w:rsidR="00944B7E" w:rsidRDefault="00614A02">
      <w:pPr>
        <w:pStyle w:val="a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Figure B-1. SLS calibration results, mean wideband SINR with </w:t>
      </w:r>
      <w:proofErr w:type="spellStart"/>
      <w:r>
        <w:rPr>
          <w:rFonts w:eastAsia="宋体"/>
          <w:b/>
          <w:lang w:eastAsia="zh-CN"/>
        </w:rPr>
        <w:t>beamforming</w:t>
      </w:r>
      <w:proofErr w:type="spellEnd"/>
      <w:r>
        <w:rPr>
          <w:rFonts w:eastAsia="宋体"/>
          <w:b/>
          <w:lang w:eastAsia="zh-CN"/>
        </w:rPr>
        <w:t xml:space="preserve"> (dB)</w:t>
      </w:r>
    </w:p>
    <w:p w:rsidR="00944B7E" w:rsidRDefault="00614A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Annex B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-2 cdfplot of Wideband SINR without beamforming</w:t>
      </w:r>
    </w:p>
    <w:p w:rsidR="00944B7E" w:rsidRDefault="00614A02">
      <w:pPr>
        <w:pStyle w:val="a0"/>
        <w:jc w:val="center"/>
        <w:rPr>
          <w:rFonts w:eastAsia="宋体"/>
          <w:b/>
          <w:sz w:val="24"/>
          <w:lang w:val="fr-FR" w:eastAsia="zh-CN"/>
        </w:rPr>
      </w:pPr>
      <w:r>
        <w:rPr>
          <w:rFonts w:eastAsia="宋体" w:hint="eastAsia"/>
          <w:b/>
          <w:sz w:val="24"/>
          <w:lang w:val="fr-FR" w:eastAsia="zh-CN"/>
        </w:rPr>
        <w:t>With</w:t>
      </w:r>
      <w:r>
        <w:rPr>
          <w:rFonts w:eastAsia="宋体"/>
          <w:b/>
          <w:sz w:val="24"/>
          <w:lang w:val="fr-FR" w:eastAsia="zh-CN"/>
        </w:rPr>
        <w:t>out</w:t>
      </w:r>
      <w:r>
        <w:rPr>
          <w:rFonts w:eastAsia="宋体" w:hint="eastAsia"/>
          <w:b/>
          <w:sz w:val="24"/>
          <w:lang w:val="fr-FR" w:eastAsia="zh-CN"/>
        </w:rPr>
        <w:t xml:space="preserve"> Beamforming</w:t>
      </w:r>
    </w:p>
    <w:p w:rsidR="00944B7E" w:rsidRDefault="00614A02">
      <w:pPr>
        <w:pStyle w:val="a0"/>
        <w:rPr>
          <w:rFonts w:ascii="Arial" w:eastAsia="宋体" w:hAnsi="Arial"/>
          <w:sz w:val="36"/>
          <w:szCs w:val="20"/>
          <w:lang w:val="fr-FR"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5733415" cy="3244215"/>
            <wp:effectExtent l="0" t="0" r="0" b="0"/>
            <wp:docPr id="1032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44B7E" w:rsidRDefault="00944B7E">
      <w:pPr>
        <w:pStyle w:val="a0"/>
        <w:jc w:val="center"/>
        <w:rPr>
          <w:rFonts w:eastAsia="宋体"/>
          <w:b/>
          <w:lang w:eastAsia="zh-CN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32"/>
        <w:gridCol w:w="917"/>
        <w:gridCol w:w="932"/>
        <w:gridCol w:w="917"/>
        <w:gridCol w:w="932"/>
        <w:gridCol w:w="917"/>
        <w:gridCol w:w="932"/>
        <w:gridCol w:w="917"/>
        <w:gridCol w:w="932"/>
        <w:gridCol w:w="917"/>
      </w:tblGrid>
      <w:tr w:rsidR="00944B7E">
        <w:trPr>
          <w:trHeight w:val="255"/>
        </w:trPr>
        <w:tc>
          <w:tcPr>
            <w:tcW w:w="50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noWrap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496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noWrap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  <w:tc>
          <w:tcPr>
            <w:tcW w:w="50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496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  <w:tc>
          <w:tcPr>
            <w:tcW w:w="50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496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  <w:tc>
          <w:tcPr>
            <w:tcW w:w="50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496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  <w:tc>
          <w:tcPr>
            <w:tcW w:w="50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Outage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[%]</w:t>
            </w:r>
          </w:p>
        </w:tc>
        <w:tc>
          <w:tcPr>
            <w:tcW w:w="496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SNR</w:t>
            </w:r>
          </w:p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eastAsia="zh-CN"/>
              </w:rPr>
              <w:t>[dB]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496" w:type="pct"/>
            <w:tcBorders>
              <w:top w:val="single" w:sz="18" w:space="0" w:color="000000"/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-9.28</w:t>
            </w:r>
          </w:p>
        </w:tc>
        <w:tc>
          <w:tcPr>
            <w:tcW w:w="504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496" w:type="pct"/>
            <w:tcBorders>
              <w:top w:val="single" w:sz="18" w:space="0" w:color="000000"/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-1.10</w:t>
            </w:r>
          </w:p>
        </w:tc>
        <w:tc>
          <w:tcPr>
            <w:tcW w:w="504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496" w:type="pct"/>
            <w:tcBorders>
              <w:top w:val="single" w:sz="18" w:space="0" w:color="000000"/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1.42</w:t>
            </w:r>
          </w:p>
        </w:tc>
        <w:tc>
          <w:tcPr>
            <w:tcW w:w="504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496" w:type="pct"/>
            <w:tcBorders>
              <w:top w:val="single" w:sz="18" w:space="0" w:color="000000"/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4.39</w:t>
            </w:r>
          </w:p>
        </w:tc>
        <w:tc>
          <w:tcPr>
            <w:tcW w:w="504" w:type="pct"/>
            <w:tcBorders>
              <w:top w:val="single" w:sz="18" w:space="0" w:color="000000"/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496" w:type="pct"/>
            <w:tcBorders>
              <w:top w:val="single" w:sz="18" w:space="0" w:color="000000"/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8.89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-5.77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-0.95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1.57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4.59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9.20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-4.94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-0.83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1.71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4.78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9.58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-4.43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-0.70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1.84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4.95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9.95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-4.09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-0.58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1.98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5.16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10.34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-3.79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-0.45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2.13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5.33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10.66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-3.52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-0.32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2.26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5.56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11.02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-3.26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-0.18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2.39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5.77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11.44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-3.04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-0.04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2.54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5.96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11.88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-2.84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0.07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2.67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6.16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12.37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-2.65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0.20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2.83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6.38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90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12.86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-2.48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0.32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2.98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6.59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91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13.34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-2.31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0.43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3.14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6.83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92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13.93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-2.12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0.54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3.28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7.07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93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14.60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-1.97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0.67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3.45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7.30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94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15.33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-1.81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0.78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7.53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95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16.07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-1.65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0.89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3.73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7.77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96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17.09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-1.52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1.03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3.92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8.06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97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18.10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-1.38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1.17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4.08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8.36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98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19.50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noWrap/>
            <w:vAlign w:val="center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noWrap/>
            <w:vAlign w:val="bottom"/>
            <w:hideMark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-1.24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1.30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59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4.21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79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8.65</w:t>
            </w:r>
          </w:p>
        </w:tc>
        <w:tc>
          <w:tcPr>
            <w:tcW w:w="504" w:type="pct"/>
            <w:tcBorders>
              <w:left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99</w:t>
            </w:r>
          </w:p>
        </w:tc>
        <w:tc>
          <w:tcPr>
            <w:tcW w:w="496" w:type="pct"/>
            <w:tcBorders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21.45</w:t>
            </w:r>
          </w:p>
        </w:tc>
      </w:tr>
      <w:tr w:rsidR="00944B7E">
        <w:trPr>
          <w:trHeight w:val="255"/>
        </w:trPr>
        <w:tc>
          <w:tcPr>
            <w:tcW w:w="504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noWrap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96" w:type="pct"/>
            <w:tcBorders>
              <w:bottom w:val="single" w:sz="18" w:space="0" w:color="000000"/>
              <w:right w:val="single" w:sz="18" w:space="0" w:color="000000"/>
            </w:tcBorders>
            <w:noWrap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4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96" w:type="pct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4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96" w:type="pct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4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96" w:type="pct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944B7E" w:rsidRDefault="00944B7E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04" w:type="pct"/>
            <w:tcBorders>
              <w:left w:val="single" w:sz="18" w:space="0" w:color="000000"/>
              <w:bottom w:val="single" w:sz="18" w:space="0" w:color="000000"/>
            </w:tcBorders>
            <w:shd w:val="clear" w:color="auto" w:fill="D9D9D9"/>
            <w:vAlign w:val="center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496" w:type="pct"/>
            <w:tcBorders>
              <w:bottom w:val="single" w:sz="18" w:space="0" w:color="000000"/>
              <w:right w:val="single" w:sz="18" w:space="0" w:color="000000"/>
            </w:tcBorders>
            <w:vAlign w:val="bottom"/>
          </w:tcPr>
          <w:p w:rsidR="00944B7E" w:rsidRDefault="00614A02">
            <w:pPr>
              <w:jc w:val="center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27.64</w:t>
            </w:r>
          </w:p>
        </w:tc>
      </w:tr>
    </w:tbl>
    <w:p w:rsidR="00944B7E" w:rsidRDefault="00944B7E">
      <w:pPr>
        <w:pStyle w:val="a0"/>
        <w:jc w:val="center"/>
        <w:rPr>
          <w:rFonts w:eastAsia="宋体"/>
          <w:b/>
          <w:lang w:eastAsia="zh-CN"/>
        </w:rPr>
      </w:pPr>
    </w:p>
    <w:p w:rsidR="00944B7E" w:rsidRDefault="00614A02">
      <w:pPr>
        <w:pStyle w:val="a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Figure B-</w:t>
      </w:r>
      <w:r w:rsidR="00A90932">
        <w:rPr>
          <w:rFonts w:eastAsia="宋体" w:hint="eastAsia"/>
          <w:b/>
          <w:lang w:eastAsia="zh-CN"/>
        </w:rPr>
        <w:t>2</w:t>
      </w:r>
      <w:r>
        <w:rPr>
          <w:rFonts w:eastAsia="宋体"/>
          <w:b/>
          <w:lang w:eastAsia="zh-CN"/>
        </w:rPr>
        <w:t xml:space="preserve">. SLS calibration results, mean wideband SINR without </w:t>
      </w:r>
      <w:proofErr w:type="spellStart"/>
      <w:r>
        <w:rPr>
          <w:rFonts w:eastAsia="宋体"/>
          <w:b/>
          <w:lang w:eastAsia="zh-CN"/>
        </w:rPr>
        <w:t>beamforming</w:t>
      </w:r>
      <w:proofErr w:type="spellEnd"/>
      <w:r>
        <w:rPr>
          <w:rFonts w:eastAsia="宋体"/>
          <w:b/>
          <w:lang w:eastAsia="zh-CN"/>
        </w:rPr>
        <w:t xml:space="preserve"> (dB)</w:t>
      </w:r>
    </w:p>
    <w:sectPr w:rsidR="00944B7E">
      <w:footerReference w:type="default" r:id="rId14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B20" w:rsidRDefault="00217B20">
      <w:r>
        <w:separator/>
      </w:r>
    </w:p>
  </w:endnote>
  <w:endnote w:type="continuationSeparator" w:id="0">
    <w:p w:rsidR="00217B20" w:rsidRDefault="0021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B7E" w:rsidRDefault="00614A02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8430F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8430F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B20" w:rsidRDefault="00217B20">
      <w:r>
        <w:separator/>
      </w:r>
    </w:p>
  </w:footnote>
  <w:footnote w:type="continuationSeparator" w:id="0">
    <w:p w:rsidR="00217B20" w:rsidRDefault="00217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3"/>
    <w:multiLevelType w:val="multilevel"/>
    <w:tmpl w:val="C03C5168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">
    <w:nsid w:val="00000004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5"/>
    <w:multiLevelType w:val="multilevel"/>
    <w:tmpl w:val="0DA4BB14"/>
    <w:lvl w:ilvl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>
    <w:nsid w:val="00000006"/>
    <w:multiLevelType w:val="hybridMultilevel"/>
    <w:tmpl w:val="363E5326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0000007"/>
    <w:multiLevelType w:val="singleLevel"/>
    <w:tmpl w:val="5A54DD86"/>
    <w:lvl w:ilvl="0">
      <w:start w:val="1"/>
      <w:numFmt w:val="decimal"/>
      <w:pStyle w:val="30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7">
    <w:nsid w:val="0000000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8">
    <w:nsid w:val="0000000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000000C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 w:tplc="333E3C3A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000000D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 w:tplc="2B269C86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MS PGothic" w:hAnsi="MS PGothic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13">
    <w:nsid w:val="0000000E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000000F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 w:tplc="2B269C86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MS PGothic" w:hAnsi="MS PGothic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15">
    <w:nsid w:val="00000010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>
    <w:nsid w:val="00000011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0000001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0000013"/>
    <w:multiLevelType w:val="hybridMultilevel"/>
    <w:tmpl w:val="14CC3B28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C4AEE3BA">
      <w:start w:val="8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5DD2D6F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18"/>
  </w:num>
  <w:num w:numId="5">
    <w:abstractNumId w:val="15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8"/>
  </w:num>
  <w:num w:numId="12">
    <w:abstractNumId w:val="17"/>
  </w:num>
  <w:num w:numId="13">
    <w:abstractNumId w:val="10"/>
  </w:num>
  <w:num w:numId="14">
    <w:abstractNumId w:val="16"/>
  </w:num>
  <w:num w:numId="15">
    <w:abstractNumId w:val="14"/>
  </w:num>
  <w:num w:numId="16">
    <w:abstractNumId w:val="13"/>
  </w:num>
  <w:num w:numId="17">
    <w:abstractNumId w:val="19"/>
  </w:num>
  <w:num w:numId="18">
    <w:abstractNumId w:val="1"/>
  </w:num>
  <w:num w:numId="19">
    <w:abstractNumId w:val="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B7E"/>
    <w:rsid w:val="00192AB7"/>
    <w:rsid w:val="00217B20"/>
    <w:rsid w:val="0028430F"/>
    <w:rsid w:val="00614A02"/>
    <w:rsid w:val="00833FE2"/>
    <w:rsid w:val="00944B7E"/>
    <w:rsid w:val="00A90932"/>
    <w:rsid w:val="00DB1FCC"/>
    <w:rsid w:val="00F3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keepLines/>
      <w:numPr>
        <w:numId w:val="8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0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basedOn w:val="a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basedOn w:val="a"/>
    <w:next w:val="a"/>
    <w:link w:val="Char0"/>
    <w:qFormat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link w:val="3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rPr>
      <w:sz w:val="20"/>
      <w:szCs w:val="20"/>
    </w:rPr>
  </w:style>
  <w:style w:type="table" w:styleId="a8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pPr>
      <w:shd w:val="clear" w:color="auto" w:fill="000080"/>
    </w:pPr>
  </w:style>
  <w:style w:type="paragraph" w:customStyle="1" w:styleId="CharChar16">
    <w:name w:val="Char Char16"/>
    <w:basedOn w:val="aa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</w:style>
  <w:style w:type="paragraph" w:customStyle="1" w:styleId="TF">
    <w:name w:val="TF"/>
    <w:basedOn w:val="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link w:val="a0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rPr>
      <w:position w:val="6"/>
      <w:sz w:val="18"/>
    </w:rPr>
  </w:style>
  <w:style w:type="paragraph" w:styleId="ae">
    <w:name w:val="footnote text"/>
    <w:basedOn w:val="a"/>
    <w:link w:val="Char2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link w:val="ae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pPr>
      <w:snapToGrid w:val="0"/>
    </w:pPr>
  </w:style>
  <w:style w:type="character" w:customStyle="1" w:styleId="Char3">
    <w:name w:val="尾注文本 Char"/>
    <w:link w:val="af"/>
    <w:rPr>
      <w:rFonts w:eastAsia="Times New Roman"/>
      <w:sz w:val="24"/>
      <w:szCs w:val="24"/>
      <w:lang w:eastAsia="en-US"/>
    </w:rPr>
  </w:style>
  <w:style w:type="character" w:styleId="af0">
    <w:name w:val="endnote reference"/>
    <w:rPr>
      <w:vertAlign w:val="superscript"/>
    </w:rPr>
  </w:style>
  <w:style w:type="paragraph" w:styleId="30">
    <w:name w:val="List Number 3"/>
    <w:basedOn w:val="a"/>
    <w:pPr>
      <w:numPr>
        <w:numId w:val="6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rPr>
      <w:b/>
      <w:bCs/>
    </w:rPr>
  </w:style>
  <w:style w:type="paragraph" w:styleId="af2">
    <w:name w:val="Revision"/>
    <w:uiPriority w:val="99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link w:val="a5"/>
    <w:rPr>
      <w:rFonts w:eastAsia="Times New Roman"/>
      <w:b/>
      <w:bCs/>
      <w:lang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Pr>
      <w:color w:val="0000FF"/>
      <w:u w:val="single"/>
    </w:rPr>
  </w:style>
  <w:style w:type="paragraph" w:customStyle="1" w:styleId="B1">
    <w:name w:val="B1"/>
    <w:basedOn w:val="af7"/>
    <w:link w:val="B10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Pr>
      <w:lang w:val="en-GB" w:eastAsia="en-GB" w:bidi="ar-SA"/>
    </w:rPr>
  </w:style>
  <w:style w:type="paragraph" w:styleId="af7">
    <w:name w:val="List"/>
    <w:basedOn w:val="a"/>
    <w:pPr>
      <w:ind w:left="200" w:hangingChars="200" w:hanging="200"/>
    </w:pPr>
  </w:style>
  <w:style w:type="paragraph" w:styleId="20">
    <w:name w:val="List 2"/>
    <w:basedOn w:val="a"/>
    <w:pPr>
      <w:ind w:leftChars="200" w:left="100" w:hangingChars="200" w:hanging="20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keepLines/>
      <w:numPr>
        <w:numId w:val="8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0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basedOn w:val="a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basedOn w:val="a"/>
    <w:next w:val="a"/>
    <w:link w:val="Char0"/>
    <w:qFormat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link w:val="3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rPr>
      <w:sz w:val="20"/>
      <w:szCs w:val="20"/>
    </w:rPr>
  </w:style>
  <w:style w:type="table" w:styleId="a8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pPr>
      <w:shd w:val="clear" w:color="auto" w:fill="000080"/>
    </w:pPr>
  </w:style>
  <w:style w:type="paragraph" w:customStyle="1" w:styleId="CharChar16">
    <w:name w:val="Char Char16"/>
    <w:basedOn w:val="aa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</w:style>
  <w:style w:type="paragraph" w:customStyle="1" w:styleId="TF">
    <w:name w:val="TF"/>
    <w:basedOn w:val="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link w:val="a0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rPr>
      <w:position w:val="6"/>
      <w:sz w:val="18"/>
    </w:rPr>
  </w:style>
  <w:style w:type="paragraph" w:styleId="ae">
    <w:name w:val="footnote text"/>
    <w:basedOn w:val="a"/>
    <w:link w:val="Char2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link w:val="ae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pPr>
      <w:snapToGrid w:val="0"/>
    </w:pPr>
  </w:style>
  <w:style w:type="character" w:customStyle="1" w:styleId="Char3">
    <w:name w:val="尾注文本 Char"/>
    <w:link w:val="af"/>
    <w:rPr>
      <w:rFonts w:eastAsia="Times New Roman"/>
      <w:sz w:val="24"/>
      <w:szCs w:val="24"/>
      <w:lang w:eastAsia="en-US"/>
    </w:rPr>
  </w:style>
  <w:style w:type="character" w:styleId="af0">
    <w:name w:val="endnote reference"/>
    <w:rPr>
      <w:vertAlign w:val="superscript"/>
    </w:rPr>
  </w:style>
  <w:style w:type="paragraph" w:styleId="30">
    <w:name w:val="List Number 3"/>
    <w:basedOn w:val="a"/>
    <w:pPr>
      <w:numPr>
        <w:numId w:val="6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rPr>
      <w:b/>
      <w:bCs/>
    </w:rPr>
  </w:style>
  <w:style w:type="paragraph" w:styleId="af2">
    <w:name w:val="Revision"/>
    <w:uiPriority w:val="99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link w:val="a5"/>
    <w:rPr>
      <w:rFonts w:eastAsia="Times New Roman"/>
      <w:b/>
      <w:bCs/>
      <w:lang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Pr>
      <w:color w:val="0000FF"/>
      <w:u w:val="single"/>
    </w:rPr>
  </w:style>
  <w:style w:type="paragraph" w:customStyle="1" w:styleId="B1">
    <w:name w:val="B1"/>
    <w:basedOn w:val="af7"/>
    <w:link w:val="B10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Pr>
      <w:lang w:val="en-GB" w:eastAsia="en-GB" w:bidi="ar-SA"/>
    </w:rPr>
  </w:style>
  <w:style w:type="paragraph" w:styleId="af7">
    <w:name w:val="List"/>
    <w:basedOn w:val="a"/>
    <w:pPr>
      <w:ind w:left="200" w:hangingChars="200" w:hanging="200"/>
    </w:pPr>
  </w:style>
  <w:style w:type="paragraph" w:styleId="20">
    <w:name w:val="List 2"/>
    <w:basedOn w:val="a"/>
    <w:pPr>
      <w:ind w:leftChars="200" w:left="100" w:hangingChars="200" w:hanging="20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ivo\AppData\Local\Microsoft\Windows\Temporary%20Internet%20Files\Content.Outlook\YZSVKUO0\Phase%201%20SLS_Calibration%20for%20NR%20MIMO_v5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ivo\AppData\Local\Microsoft\Windows\Temporary%20Internet%20Files\Content.Outlook\YZSVKUO0\Phase%201%20SLS_Calibration%20for%20NR%20MIMO_v5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6665E-2"/>
          <c:y val="3.9215780138873411E-2"/>
          <c:w val="0.884103006862483"/>
          <c:h val="0.82598236917501056"/>
        </c:manualLayout>
      </c:layout>
      <c:scatterChart>
        <c:scatterStyle val="lineMarker"/>
        <c:varyColors val="0"/>
        <c:ser>
          <c:idx val="13"/>
          <c:order val="0"/>
          <c:tx>
            <c:strRef>
              <c:f>'[Phase 1 SLS_Calibration for NR MIMO_v54.xlsx]Macro-DenseUrban-4G'!$AT$25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'[Phase 1 SLS_Calibration for NR MIMO_v54.xlsx]Macro-DenseUrban-4G'!$AT$29:$AT$129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E6E-49BC-8EC5-63930A9438BC}"/>
            </c:ext>
          </c:extLst>
        </c:ser>
        <c:ser>
          <c:idx val="14"/>
          <c:order val="1"/>
          <c:tx>
            <c:strRef>
              <c:f>'[Phase 1 SLS_Calibration for NR MIMO_v54.xlsx]Macro-DenseUrban-4G'!$AU$25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'[Phase 1 SLS_Calibration for NR MIMO_v54.xlsx]Macro-DenseUrban-4G'!$AU$29:$AU$129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9E6E-49BC-8EC5-63930A9438BC}"/>
            </c:ext>
          </c:extLst>
        </c:ser>
        <c:ser>
          <c:idx val="15"/>
          <c:order val="2"/>
          <c:tx>
            <c:strRef>
              <c:f>'[Phase 1 SLS_Calibration for NR MIMO_v54.xlsx]Macro-DenseUrban-4G'!$AV$25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9525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MIMO_v54.xlsx]Macro-DenseUrban-4G'!$AV$29:$AV$129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F-9E6E-49BC-8EC5-63930A9438BC}"/>
            </c:ext>
          </c:extLst>
        </c:ser>
        <c:ser>
          <c:idx val="16"/>
          <c:order val="3"/>
          <c:tx>
            <c:strRef>
              <c:f>'[Phase 1 SLS_Calibration for NR MIMO_v54.xlsx]Macro-DenseUrban-4G'!$AW$25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9525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MIMO_v54.xlsx]Macro-DenseUrban-4G'!$AW$29:$AW$129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0-9E6E-49BC-8EC5-63930A9438BC}"/>
            </c:ext>
          </c:extLst>
        </c:ser>
        <c:ser>
          <c:idx val="17"/>
          <c:order val="4"/>
          <c:tx>
            <c:strRef>
              <c:f>'[Phase 1 SLS_Calibration for NR MIMO_v54.xlsx]Macro-DenseUrban-4G'!$AX$25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9525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MIMO_v54.xlsx]Macro-DenseUrban-4G'!$AX$29:$AX$129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9E6E-49BC-8EC5-63930A9438BC}"/>
            </c:ext>
          </c:extLst>
        </c:ser>
        <c:ser>
          <c:idx val="18"/>
          <c:order val="5"/>
          <c:tx>
            <c:strRef>
              <c:f>'[Phase 1 SLS_Calibration for NR MIMO_v54.xlsx]Macro-DenseUrban-4G'!$AY$25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9525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MIMO_v54.xlsx]Macro-DenseUrban-4G'!$AY$29:$AY$129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2-9E6E-49BC-8EC5-63930A9438BC}"/>
            </c:ext>
          </c:extLst>
        </c:ser>
        <c:ser>
          <c:idx val="19"/>
          <c:order val="6"/>
          <c:tx>
            <c:strRef>
              <c:f>'[Phase 1 SLS_Calibration for NR MIMO_v54.xlsx]Macro-DenseUrban-4G'!$AZ$25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9525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MIMO_v54.xlsx]Macro-DenseUrban-4G'!$AZ$29:$AZ$129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3-9E6E-49BC-8EC5-63930A9438BC}"/>
            </c:ext>
          </c:extLst>
        </c:ser>
        <c:ser>
          <c:idx val="20"/>
          <c:order val="7"/>
          <c:tx>
            <c:strRef>
              <c:f>'[Phase 1 SLS_Calibration for NR MIMO_v54.xlsx]Macro-DenseUrban-4G'!$BA$25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9525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MIMO_v54.xlsx]Macro-DenseUrban-4G'!$BA$29:$BA$129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4-9E6E-49BC-8EC5-63930A9438BC}"/>
            </c:ext>
          </c:extLst>
        </c:ser>
        <c:ser>
          <c:idx val="21"/>
          <c:order val="8"/>
          <c:tx>
            <c:strRef>
              <c:f>'[Phase 1 SLS_Calibration for NR MIMO_v54.xlsx]Macro-DenseUrban-4G'!$BB$25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9525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MIMO_v54.xlsx]Macro-DenseUrban-4G'!$BB$29:$BB$129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5-9E6E-49BC-8EC5-63930A9438BC}"/>
            </c:ext>
          </c:extLst>
        </c:ser>
        <c:ser>
          <c:idx val="22"/>
          <c:order val="9"/>
          <c:tx>
            <c:strRef>
              <c:f>'[Phase 1 SLS_Calibration for NR MIMO_v54.xlsx]Macro-DenseUrban-4G'!$BC$25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9525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MIMO_v54.xlsx]Macro-DenseUrban-4G'!$BC$29:$BC$129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9E6E-49BC-8EC5-63930A9438BC}"/>
            </c:ext>
          </c:extLst>
        </c:ser>
        <c:ser>
          <c:idx val="23"/>
          <c:order val="10"/>
          <c:tx>
            <c:strRef>
              <c:f>'[Phase 1 SLS_Calibration for NR MIMO_v54.xlsx]Macro-DenseUrban-4G'!$BD$25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9525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MIMO_v54.xlsx]Macro-DenseUrban-4G'!$BD$29:$BD$129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7-9E6E-49BC-8EC5-63930A9438BC}"/>
            </c:ext>
          </c:extLst>
        </c:ser>
        <c:ser>
          <c:idx val="24"/>
          <c:order val="11"/>
          <c:tx>
            <c:strRef>
              <c:f>'[Phase 1 SLS_Calibration for NR MIMO_v54.xlsx]Macro-DenseUrban-4G'!$BE$25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9525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MIMO_v54.xlsx]Macro-DenseUrban-4G'!$BE$29:$BE$129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9E6E-49BC-8EC5-63930A9438BC}"/>
            </c:ext>
          </c:extLst>
        </c:ser>
        <c:ser>
          <c:idx val="0"/>
          <c:order val="12"/>
          <c:tx>
            <c:strRef>
              <c:f>'[Phase 1 SLS_Calibration for NR MIMO_v54.xlsx]Sheet1'!$AG$25</c:f>
              <c:strCache>
                <c:ptCount val="1"/>
                <c:pt idx="0">
                  <c:v>ZTE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'[Phase 1 SLS_Calibration for NR MIMO_v54.xlsx]Sheet1'!$AG$29:$AG$129</c:f>
              <c:numCache>
                <c:formatCode>0.00</c:formatCode>
                <c:ptCount val="101"/>
                <c:pt idx="0">
                  <c:v>-2.7760780257691815</c:v>
                </c:pt>
                <c:pt idx="1">
                  <c:v>3.5853526293347127</c:v>
                </c:pt>
                <c:pt idx="2">
                  <c:v>5.1224782134904281</c:v>
                </c:pt>
                <c:pt idx="3">
                  <c:v>5.8464496199121578</c:v>
                </c:pt>
                <c:pt idx="4">
                  <c:v>6.551799335929128</c:v>
                </c:pt>
                <c:pt idx="5">
                  <c:v>7.1009414705300502</c:v>
                </c:pt>
                <c:pt idx="6">
                  <c:v>7.6356237792625441</c:v>
                </c:pt>
                <c:pt idx="7">
                  <c:v>8.0656031219353963</c:v>
                </c:pt>
                <c:pt idx="8">
                  <c:v>8.4508275953725231</c:v>
                </c:pt>
                <c:pt idx="9">
                  <c:v>8.7430532601417656</c:v>
                </c:pt>
                <c:pt idx="10">
                  <c:v>9.0744580230873719</c:v>
                </c:pt>
                <c:pt idx="11">
                  <c:v>9.4263634531027751</c:v>
                </c:pt>
                <c:pt idx="12">
                  <c:v>9.7148886634526939</c:v>
                </c:pt>
                <c:pt idx="13">
                  <c:v>10.004200492590629</c:v>
                </c:pt>
                <c:pt idx="14">
                  <c:v>10.27441064622742</c:v>
                </c:pt>
                <c:pt idx="15">
                  <c:v>10.52519673236765</c:v>
                </c:pt>
                <c:pt idx="16">
                  <c:v>10.808709750253827</c:v>
                </c:pt>
                <c:pt idx="17">
                  <c:v>11.059112189122406</c:v>
                </c:pt>
                <c:pt idx="18">
                  <c:v>11.261430861423896</c:v>
                </c:pt>
                <c:pt idx="19">
                  <c:v>11.502684488461009</c:v>
                </c:pt>
                <c:pt idx="20">
                  <c:v>11.752467196477998</c:v>
                </c:pt>
                <c:pt idx="21">
                  <c:v>11.999647201572095</c:v>
                </c:pt>
                <c:pt idx="22">
                  <c:v>12.26367243714183</c:v>
                </c:pt>
                <c:pt idx="23">
                  <c:v>12.487232009388073</c:v>
                </c:pt>
                <c:pt idx="24">
                  <c:v>12.717981134938999</c:v>
                </c:pt>
                <c:pt idx="25">
                  <c:v>12.920163125307656</c:v>
                </c:pt>
                <c:pt idx="26">
                  <c:v>13.134867232472605</c:v>
                </c:pt>
                <c:pt idx="27">
                  <c:v>13.326035121540231</c:v>
                </c:pt>
                <c:pt idx="28">
                  <c:v>13.532429501236111</c:v>
                </c:pt>
                <c:pt idx="29">
                  <c:v>13.762305991980956</c:v>
                </c:pt>
                <c:pt idx="30">
                  <c:v>13.99677296556095</c:v>
                </c:pt>
                <c:pt idx="31">
                  <c:v>14.204584472356318</c:v>
                </c:pt>
                <c:pt idx="32">
                  <c:v>14.413937015838112</c:v>
                </c:pt>
                <c:pt idx="33">
                  <c:v>14.610718694711093</c:v>
                </c:pt>
                <c:pt idx="34">
                  <c:v>14.870291871128465</c:v>
                </c:pt>
                <c:pt idx="35">
                  <c:v>15.08873227167844</c:v>
                </c:pt>
                <c:pt idx="36">
                  <c:v>15.296124869380082</c:v>
                </c:pt>
                <c:pt idx="37">
                  <c:v>15.504867315461935</c:v>
                </c:pt>
                <c:pt idx="38">
                  <c:v>15.70584161164458</c:v>
                </c:pt>
                <c:pt idx="39">
                  <c:v>15.907862349287406</c:v>
                </c:pt>
                <c:pt idx="40">
                  <c:v>16.12526514103752</c:v>
                </c:pt>
                <c:pt idx="41">
                  <c:v>16.341314893110546</c:v>
                </c:pt>
                <c:pt idx="42">
                  <c:v>16.535075150271204</c:v>
                </c:pt>
                <c:pt idx="43">
                  <c:v>16.737090879921837</c:v>
                </c:pt>
                <c:pt idx="44">
                  <c:v>16.947561804078191</c:v>
                </c:pt>
                <c:pt idx="45">
                  <c:v>17.133430425670305</c:v>
                </c:pt>
                <c:pt idx="46">
                  <c:v>17.317797816114371</c:v>
                </c:pt>
                <c:pt idx="47">
                  <c:v>17.528901404372274</c:v>
                </c:pt>
                <c:pt idx="48">
                  <c:v>17.738154825460846</c:v>
                </c:pt>
                <c:pt idx="49">
                  <c:v>17.92767443323747</c:v>
                </c:pt>
                <c:pt idx="50">
                  <c:v>18.122215324342761</c:v>
                </c:pt>
                <c:pt idx="51">
                  <c:v>18.344165101029624</c:v>
                </c:pt>
                <c:pt idx="52">
                  <c:v>18.568670061421244</c:v>
                </c:pt>
                <c:pt idx="53">
                  <c:v>18.790065402626038</c:v>
                </c:pt>
                <c:pt idx="54">
                  <c:v>19.018486476776982</c:v>
                </c:pt>
                <c:pt idx="55">
                  <c:v>19.244206312733056</c:v>
                </c:pt>
                <c:pt idx="56">
                  <c:v>19.466480688123269</c:v>
                </c:pt>
                <c:pt idx="57">
                  <c:v>19.690560909272939</c:v>
                </c:pt>
                <c:pt idx="58">
                  <c:v>19.904273028832709</c:v>
                </c:pt>
                <c:pt idx="59">
                  <c:v>20.118334449985102</c:v>
                </c:pt>
                <c:pt idx="60">
                  <c:v>20.34291840078712</c:v>
                </c:pt>
                <c:pt idx="61">
                  <c:v>20.560508251868445</c:v>
                </c:pt>
                <c:pt idx="62">
                  <c:v>20.820963213195647</c:v>
                </c:pt>
                <c:pt idx="63">
                  <c:v>21.047426817060156</c:v>
                </c:pt>
                <c:pt idx="64">
                  <c:v>21.321679275582994</c:v>
                </c:pt>
                <c:pt idx="65">
                  <c:v>21.560957296201142</c:v>
                </c:pt>
                <c:pt idx="66">
                  <c:v>21.797632714833544</c:v>
                </c:pt>
                <c:pt idx="67">
                  <c:v>22.050474750476898</c:v>
                </c:pt>
                <c:pt idx="68">
                  <c:v>22.290881369555681</c:v>
                </c:pt>
                <c:pt idx="69">
                  <c:v>22.540603666379887</c:v>
                </c:pt>
                <c:pt idx="70">
                  <c:v>22.812699002026193</c:v>
                </c:pt>
                <c:pt idx="71">
                  <c:v>23.11010114847155</c:v>
                </c:pt>
                <c:pt idx="72">
                  <c:v>23.436416983800804</c:v>
                </c:pt>
                <c:pt idx="73">
                  <c:v>23.791288111474639</c:v>
                </c:pt>
                <c:pt idx="74">
                  <c:v>24.117066486820754</c:v>
                </c:pt>
                <c:pt idx="75">
                  <c:v>24.402633642834971</c:v>
                </c:pt>
                <c:pt idx="76">
                  <c:v>24.728640339059929</c:v>
                </c:pt>
                <c:pt idx="77">
                  <c:v>25.050077775437543</c:v>
                </c:pt>
                <c:pt idx="78">
                  <c:v>25.374236722095386</c:v>
                </c:pt>
                <c:pt idx="79">
                  <c:v>25.732792334153164</c:v>
                </c:pt>
                <c:pt idx="80">
                  <c:v>26.080565736246115</c:v>
                </c:pt>
                <c:pt idx="81">
                  <c:v>26.379503603233804</c:v>
                </c:pt>
                <c:pt idx="82">
                  <c:v>26.717823511432943</c:v>
                </c:pt>
                <c:pt idx="83">
                  <c:v>27.080554009599339</c:v>
                </c:pt>
                <c:pt idx="84">
                  <c:v>27.571430624211828</c:v>
                </c:pt>
                <c:pt idx="85">
                  <c:v>27.942422016587976</c:v>
                </c:pt>
                <c:pt idx="86">
                  <c:v>28.420255226598801</c:v>
                </c:pt>
                <c:pt idx="87">
                  <c:v>28.855026651030492</c:v>
                </c:pt>
                <c:pt idx="88">
                  <c:v>29.421700617861443</c:v>
                </c:pt>
                <c:pt idx="89">
                  <c:v>29.954881413772323</c:v>
                </c:pt>
                <c:pt idx="90">
                  <c:v>30.511588669600947</c:v>
                </c:pt>
                <c:pt idx="91">
                  <c:v>31.123174336879615</c:v>
                </c:pt>
                <c:pt idx="92">
                  <c:v>31.710929194935016</c:v>
                </c:pt>
                <c:pt idx="93">
                  <c:v>32.363915739426936</c:v>
                </c:pt>
                <c:pt idx="94">
                  <c:v>33.118409562887095</c:v>
                </c:pt>
                <c:pt idx="95">
                  <c:v>33.839299331510304</c:v>
                </c:pt>
                <c:pt idx="96">
                  <c:v>34.69047715984469</c:v>
                </c:pt>
                <c:pt idx="97">
                  <c:v>35.946825808845382</c:v>
                </c:pt>
                <c:pt idx="98">
                  <c:v>37.793446119522208</c:v>
                </c:pt>
                <c:pt idx="99">
                  <c:v>40.681144675471423</c:v>
                </c:pt>
                <c:pt idx="100">
                  <c:v>48.947841635476721</c:v>
                </c:pt>
              </c:numCache>
            </c:numRef>
          </c:xVal>
          <c:yVal>
            <c:numRef>
              <c:f>'[Phase 1 SLS_Calibration for NR MIMO_v54.xlsx]Sheet1'!$A$29:$A$129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9E6E-49BC-8EC5-63930A9438BC}"/>
            </c:ext>
          </c:extLst>
        </c:ser>
        <c:ser>
          <c:idx val="25"/>
          <c:order val="13"/>
          <c:tx>
            <c:strRef>
              <c:f>'[Phase 1 SLS_Calibration for NR MIMO_v54.xlsx]Macro-DenseUrban-4G'!$BF$25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9525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MIMO_v54.xlsx]Macro-DenseUrban-4G'!$BF$29:$BF$129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9-9E6E-49BC-8EC5-63930A9438BC}"/>
            </c:ext>
          </c:extLst>
        </c:ser>
        <c:ser>
          <c:idx val="26"/>
          <c:order val="14"/>
          <c:tx>
            <c:strRef>
              <c:f>'[Phase 1 SLS_Calibration for NR MIMO_v54.xlsx]Macro-DenseUrban-4G'!$BG$25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9525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MIMO_v54.xlsx]Macro-DenseUrban-4G'!$BG$29:$BG$129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A-9E6E-49BC-8EC5-63930A9438BC}"/>
            </c:ext>
          </c:extLst>
        </c:ser>
        <c:ser>
          <c:idx val="27"/>
          <c:order val="15"/>
          <c:tx>
            <c:strRef>
              <c:f>'[Phase 1 SLS_Calibration for NR MIMO_v54.xlsx]Macro-DenseUrban-4G'!$BH$25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9525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MIMO_v54.xlsx]Macro-DenseUrban-4G'!$BH$29:$BH$129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E6E-49BC-8EC5-63930A9438BC}"/>
            </c:ext>
          </c:extLst>
        </c:ser>
        <c:ser>
          <c:idx val="28"/>
          <c:order val="16"/>
          <c:tx>
            <c:strRef>
              <c:f>'[Phase 1 SLS_Calibration for NR MIMO_v54.xlsx]Macro-DenseUrban-4G'!$BI$25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'[Phase 1 SLS_Calibration for NR MIMO_v54.xlsx]Macro-DenseUrban-4G'!$BI$29:$BI$129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9E6E-49BC-8EC5-63930A9438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0842752"/>
        <c:axId val="664139648"/>
      </c:scatterChart>
      <c:valAx>
        <c:axId val="660842752"/>
        <c:scaling>
          <c:orientation val="minMax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Wideband SINR with beamforming (dB)</a:t>
                </a:r>
              </a:p>
            </c:rich>
          </c:tx>
          <c:layout>
            <c:manualLayout>
              <c:xMode val="edge"/>
              <c:yMode val="edge"/>
              <c:x val="0.27617658934509365"/>
              <c:y val="0.9342139778035673"/>
            </c:manualLayout>
          </c:layout>
          <c:overlay val="0"/>
          <c:spPr>
            <a:noFill/>
            <a:ln w="25400">
              <a:noFill/>
            </a:ln>
          </c:spPr>
        </c:title>
        <c:numFmt formatCode="0_ " sourceLinked="0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zh-CN"/>
          </a:p>
        </c:txPr>
        <c:crossAx val="664139648"/>
        <c:crossesAt val="-120"/>
        <c:crossBetween val="midCat"/>
        <c:majorUnit val="5"/>
      </c:valAx>
      <c:valAx>
        <c:axId val="664139648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0.9533557225493009"/>
              <c:y val="0.3247044354335332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660842752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12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6665E-2"/>
          <c:y val="3.9215780138873411E-2"/>
          <c:w val="0.884103006862483"/>
          <c:h val="0.82598236917501056"/>
        </c:manualLayout>
      </c:layout>
      <c:scatterChart>
        <c:scatterStyle val="lineMarker"/>
        <c:varyColors val="0"/>
        <c:ser>
          <c:idx val="13"/>
          <c:order val="0"/>
          <c:tx>
            <c:strRef>
              <c:f>'[Phase 1 SLS_Calibration for NR MIMO_v54.xlsx]Macro-DenseUrban-4G'!$AT$25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'[Phase 1 SLS_Calibration for NR MIMO_v54.xlsx]Macro-DenseUrban-4G'!$AT$29:$AT$129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E6E-49BC-8EC5-63930A9438BC}"/>
            </c:ext>
          </c:extLst>
        </c:ser>
        <c:ser>
          <c:idx val="14"/>
          <c:order val="1"/>
          <c:tx>
            <c:strRef>
              <c:f>'[Phase 1 SLS_Calibration for NR MIMO_v54.xlsx]Macro-DenseUrban-4G'!$AU$25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'[Phase 1 SLS_Calibration for NR MIMO_v54.xlsx]Macro-DenseUrban-4G'!$AU$29:$AU$129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9E6E-49BC-8EC5-63930A9438BC}"/>
            </c:ext>
          </c:extLst>
        </c:ser>
        <c:ser>
          <c:idx val="15"/>
          <c:order val="2"/>
          <c:tx>
            <c:strRef>
              <c:f>'[Phase 1 SLS_Calibration for NR MIMO_v54.xlsx]Macro-DenseUrban-4G'!$AV$25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9525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MIMO_v54.xlsx]Macro-DenseUrban-4G'!$AV$29:$AV$129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F-9E6E-49BC-8EC5-63930A9438BC}"/>
            </c:ext>
          </c:extLst>
        </c:ser>
        <c:ser>
          <c:idx val="16"/>
          <c:order val="3"/>
          <c:tx>
            <c:strRef>
              <c:f>'[Phase 1 SLS_Calibration for NR MIMO_v54.xlsx]Macro-DenseUrban-4G'!$AW$25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9525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MIMO_v54.xlsx]Macro-DenseUrban-4G'!$AW$29:$AW$129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0-9E6E-49BC-8EC5-63930A9438BC}"/>
            </c:ext>
          </c:extLst>
        </c:ser>
        <c:ser>
          <c:idx val="17"/>
          <c:order val="4"/>
          <c:tx>
            <c:strRef>
              <c:f>'[Phase 1 SLS_Calibration for NR MIMO_v54.xlsx]Macro-DenseUrban-4G'!$AX$25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9525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MIMO_v54.xlsx]Macro-DenseUrban-4G'!$AX$29:$AX$129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9E6E-49BC-8EC5-63930A9438BC}"/>
            </c:ext>
          </c:extLst>
        </c:ser>
        <c:ser>
          <c:idx val="18"/>
          <c:order val="5"/>
          <c:tx>
            <c:strRef>
              <c:f>'[Phase 1 SLS_Calibration for NR MIMO_v54.xlsx]Macro-DenseUrban-4G'!$AY$25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9525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MIMO_v54.xlsx]Macro-DenseUrban-4G'!$AY$29:$AY$129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2-9E6E-49BC-8EC5-63930A9438BC}"/>
            </c:ext>
          </c:extLst>
        </c:ser>
        <c:ser>
          <c:idx val="19"/>
          <c:order val="6"/>
          <c:tx>
            <c:strRef>
              <c:f>'[Phase 1 SLS_Calibration for NR MIMO_v54.xlsx]Macro-DenseUrban-4G'!$AZ$25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9525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MIMO_v54.xlsx]Macro-DenseUrban-4G'!$AZ$29:$AZ$129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3-9E6E-49BC-8EC5-63930A9438BC}"/>
            </c:ext>
          </c:extLst>
        </c:ser>
        <c:ser>
          <c:idx val="20"/>
          <c:order val="7"/>
          <c:tx>
            <c:strRef>
              <c:f>'[Phase 1 SLS_Calibration for NR MIMO_v54.xlsx]Macro-DenseUrban-4G'!$BA$25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9525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MIMO_v54.xlsx]Macro-DenseUrban-4G'!$BA$29:$BA$129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4-9E6E-49BC-8EC5-63930A9438BC}"/>
            </c:ext>
          </c:extLst>
        </c:ser>
        <c:ser>
          <c:idx val="21"/>
          <c:order val="8"/>
          <c:tx>
            <c:strRef>
              <c:f>'[Phase 1 SLS_Calibration for NR MIMO_v54.xlsx]Macro-DenseUrban-4G'!$BB$25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9525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MIMO_v54.xlsx]Macro-DenseUrban-4G'!$BB$29:$BB$129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5-9E6E-49BC-8EC5-63930A9438BC}"/>
            </c:ext>
          </c:extLst>
        </c:ser>
        <c:ser>
          <c:idx val="22"/>
          <c:order val="9"/>
          <c:tx>
            <c:strRef>
              <c:f>'[Phase 1 SLS_Calibration for NR MIMO_v54.xlsx]Macro-DenseUrban-4G'!$BC$25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9525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MIMO_v54.xlsx]Macro-DenseUrban-4G'!$BC$29:$BC$129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9E6E-49BC-8EC5-63930A9438BC}"/>
            </c:ext>
          </c:extLst>
        </c:ser>
        <c:ser>
          <c:idx val="23"/>
          <c:order val="10"/>
          <c:tx>
            <c:strRef>
              <c:f>'[Phase 1 SLS_Calibration for NR MIMO_v54.xlsx]Macro-DenseUrban-4G'!$BD$25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9525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MIMO_v54.xlsx]Macro-DenseUrban-4G'!$BD$29:$BD$129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7-9E6E-49BC-8EC5-63930A9438BC}"/>
            </c:ext>
          </c:extLst>
        </c:ser>
        <c:ser>
          <c:idx val="24"/>
          <c:order val="11"/>
          <c:tx>
            <c:strRef>
              <c:f>'[Phase 1 SLS_Calibration for NR MIMO_v54.xlsx]Macro-DenseUrban-4G'!$BE$25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9525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MIMO_v54.xlsx]Macro-DenseUrban-4G'!$BE$29:$BE$129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9E6E-49BC-8EC5-63930A9438BC}"/>
            </c:ext>
          </c:extLst>
        </c:ser>
        <c:ser>
          <c:idx val="0"/>
          <c:order val="12"/>
          <c:tx>
            <c:strRef>
              <c:f>'[Phase 1 SLS_Calibration for NR MIMO_v54.xlsx]Sheet1'!$AG$25</c:f>
              <c:strCache>
                <c:ptCount val="1"/>
                <c:pt idx="0">
                  <c:v>ZTE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'[Phase 1 SLS_Calibration for NR MIMO_v54.xlsx]Sheet1'!$AG$29:$AG$129</c:f>
              <c:numCache>
                <c:formatCode>0.00</c:formatCode>
                <c:ptCount val="101"/>
                <c:pt idx="0">
                  <c:v>-9.2774003460956767</c:v>
                </c:pt>
                <c:pt idx="1">
                  <c:v>-5.7681078159343873</c:v>
                </c:pt>
                <c:pt idx="2">
                  <c:v>-4.9367299486483507</c:v>
                </c:pt>
                <c:pt idx="3">
                  <c:v>-4.432943893220366</c:v>
                </c:pt>
                <c:pt idx="4">
                  <c:v>-4.0929206665611533</c:v>
                </c:pt>
                <c:pt idx="5">
                  <c:v>-3.7862357417812751</c:v>
                </c:pt>
                <c:pt idx="6">
                  <c:v>-3.5235662288530838</c:v>
                </c:pt>
                <c:pt idx="7">
                  <c:v>-3.2604526519529569</c:v>
                </c:pt>
                <c:pt idx="8">
                  <c:v>-3.0375372739404543</c:v>
                </c:pt>
                <c:pt idx="9">
                  <c:v>-2.8422019939316496</c:v>
                </c:pt>
                <c:pt idx="10">
                  <c:v>-2.6459969903589222</c:v>
                </c:pt>
                <c:pt idx="11">
                  <c:v>-2.4782362878210487</c:v>
                </c:pt>
                <c:pt idx="12">
                  <c:v>-2.3061102588739435</c:v>
                </c:pt>
                <c:pt idx="13">
                  <c:v>-2.1210147413963059</c:v>
                </c:pt>
                <c:pt idx="14">
                  <c:v>-1.9689473034048368</c:v>
                </c:pt>
                <c:pt idx="15">
                  <c:v>-1.8134428560072064</c:v>
                </c:pt>
                <c:pt idx="16">
                  <c:v>-1.6496385864303051</c:v>
                </c:pt>
                <c:pt idx="17">
                  <c:v>-1.5189606049888675</c:v>
                </c:pt>
                <c:pt idx="18">
                  <c:v>-1.3754932807181652</c:v>
                </c:pt>
                <c:pt idx="19">
                  <c:v>-1.2385571138389724</c:v>
                </c:pt>
                <c:pt idx="20">
                  <c:v>-1.1010213575490246</c:v>
                </c:pt>
                <c:pt idx="21">
                  <c:v>-0.95192345616667862</c:v>
                </c:pt>
                <c:pt idx="22">
                  <c:v>-0.82720872670254764</c:v>
                </c:pt>
                <c:pt idx="23">
                  <c:v>-0.70343814893415235</c:v>
                </c:pt>
                <c:pt idx="24">
                  <c:v>-0.57916043616980262</c:v>
                </c:pt>
                <c:pt idx="25">
                  <c:v>-0.44697796823414404</c:v>
                </c:pt>
                <c:pt idx="26">
                  <c:v>-0.31842743702734233</c:v>
                </c:pt>
                <c:pt idx="27">
                  <c:v>-0.17720048240436037</c:v>
                </c:pt>
                <c:pt idx="28">
                  <c:v>-3.8308774303404895E-2</c:v>
                </c:pt>
                <c:pt idx="29">
                  <c:v>7.4573442561384984E-2</c:v>
                </c:pt>
                <c:pt idx="30">
                  <c:v>0.19710997933916227</c:v>
                </c:pt>
                <c:pt idx="31">
                  <c:v>0.31812342176016745</c:v>
                </c:pt>
                <c:pt idx="32">
                  <c:v>0.43495523843791095</c:v>
                </c:pt>
                <c:pt idx="33">
                  <c:v>0.53688249490925444</c:v>
                </c:pt>
                <c:pt idx="34">
                  <c:v>0.66536649892757416</c:v>
                </c:pt>
                <c:pt idx="35">
                  <c:v>0.77862292657435361</c:v>
                </c:pt>
                <c:pt idx="36">
                  <c:v>0.89275272537286199</c:v>
                </c:pt>
                <c:pt idx="37">
                  <c:v>1.0312935915800161</c:v>
                </c:pt>
                <c:pt idx="38">
                  <c:v>1.1733269054625586</c:v>
                </c:pt>
                <c:pt idx="39">
                  <c:v>1.3007062461221521</c:v>
                </c:pt>
                <c:pt idx="40">
                  <c:v>1.4240213597452691</c:v>
                </c:pt>
                <c:pt idx="41">
                  <c:v>1.5747305871262862</c:v>
                </c:pt>
                <c:pt idx="42">
                  <c:v>1.7118651416412507</c:v>
                </c:pt>
                <c:pt idx="43">
                  <c:v>1.8383341102306685</c:v>
                </c:pt>
                <c:pt idx="44">
                  <c:v>1.9810859586696556</c:v>
                </c:pt>
                <c:pt idx="45">
                  <c:v>2.1266447117095559</c:v>
                </c:pt>
                <c:pt idx="46">
                  <c:v>2.2624701780488938</c:v>
                </c:pt>
                <c:pt idx="47">
                  <c:v>2.3917785618744647</c:v>
                </c:pt>
                <c:pt idx="48">
                  <c:v>2.538600264902664</c:v>
                </c:pt>
                <c:pt idx="49">
                  <c:v>2.6691747397963828</c:v>
                </c:pt>
                <c:pt idx="50">
                  <c:v>2.8304563009878141</c:v>
                </c:pt>
                <c:pt idx="51">
                  <c:v>2.9847243287730665</c:v>
                </c:pt>
                <c:pt idx="52">
                  <c:v>3.1378189026800283</c:v>
                </c:pt>
                <c:pt idx="53">
                  <c:v>3.283601270298957</c:v>
                </c:pt>
                <c:pt idx="54">
                  <c:v>3.4469350540752037</c:v>
                </c:pt>
                <c:pt idx="55">
                  <c:v>3.5849487127016135</c:v>
                </c:pt>
                <c:pt idx="56">
                  <c:v>3.7335041045221113</c:v>
                </c:pt>
                <c:pt idx="57">
                  <c:v>3.920458941670677</c:v>
                </c:pt>
                <c:pt idx="58">
                  <c:v>4.0760823702457465</c:v>
                </c:pt>
                <c:pt idx="59">
                  <c:v>4.2112254456569191</c:v>
                </c:pt>
                <c:pt idx="60">
                  <c:v>4.3949119038921092</c:v>
                </c:pt>
                <c:pt idx="61">
                  <c:v>4.5872284107698338</c:v>
                </c:pt>
                <c:pt idx="62">
                  <c:v>4.7786029917096675</c:v>
                </c:pt>
                <c:pt idx="63">
                  <c:v>4.9492238050791553</c:v>
                </c:pt>
                <c:pt idx="64">
                  <c:v>5.1584837651304607</c:v>
                </c:pt>
                <c:pt idx="65">
                  <c:v>5.3339372596532204</c:v>
                </c:pt>
                <c:pt idx="66">
                  <c:v>5.559847867657707</c:v>
                </c:pt>
                <c:pt idx="67">
                  <c:v>5.7655427935256744</c:v>
                </c:pt>
                <c:pt idx="68">
                  <c:v>5.9620270703852363</c:v>
                </c:pt>
                <c:pt idx="69">
                  <c:v>6.1607342745681724</c:v>
                </c:pt>
                <c:pt idx="70">
                  <c:v>6.3823331655826356</c:v>
                </c:pt>
                <c:pt idx="71">
                  <c:v>6.5914451582389795</c:v>
                </c:pt>
                <c:pt idx="72">
                  <c:v>6.8277661248432793</c:v>
                </c:pt>
                <c:pt idx="73">
                  <c:v>7.068285752466573</c:v>
                </c:pt>
                <c:pt idx="74">
                  <c:v>7.2959543085302281</c:v>
                </c:pt>
                <c:pt idx="75">
                  <c:v>7.5302069593150369</c:v>
                </c:pt>
                <c:pt idx="76">
                  <c:v>7.7679472609101525</c:v>
                </c:pt>
                <c:pt idx="77">
                  <c:v>8.0564583399546219</c:v>
                </c:pt>
                <c:pt idx="78">
                  <c:v>8.3554517181295029</c:v>
                </c:pt>
                <c:pt idx="79">
                  <c:v>8.6528635811267538</c:v>
                </c:pt>
                <c:pt idx="80">
                  <c:v>8.8860800018104928</c:v>
                </c:pt>
                <c:pt idx="81">
                  <c:v>9.2032081022627192</c:v>
                </c:pt>
                <c:pt idx="82">
                  <c:v>9.5792710705864419</c:v>
                </c:pt>
                <c:pt idx="83">
                  <c:v>9.9500502633921499</c:v>
                </c:pt>
                <c:pt idx="84">
                  <c:v>10.338474469977447</c:v>
                </c:pt>
                <c:pt idx="85">
                  <c:v>10.663811346244435</c:v>
                </c:pt>
                <c:pt idx="86">
                  <c:v>11.022556873047838</c:v>
                </c:pt>
                <c:pt idx="87">
                  <c:v>11.442760887968536</c:v>
                </c:pt>
                <c:pt idx="88">
                  <c:v>11.884509521359114</c:v>
                </c:pt>
                <c:pt idx="89">
                  <c:v>12.373126618835695</c:v>
                </c:pt>
                <c:pt idx="90">
                  <c:v>12.857009763506884</c:v>
                </c:pt>
                <c:pt idx="91">
                  <c:v>13.338643633928163</c:v>
                </c:pt>
                <c:pt idx="92">
                  <c:v>13.926479905405053</c:v>
                </c:pt>
                <c:pt idx="93">
                  <c:v>14.604493018816196</c:v>
                </c:pt>
                <c:pt idx="94">
                  <c:v>15.32639174903559</c:v>
                </c:pt>
                <c:pt idx="95">
                  <c:v>16.06567526314835</c:v>
                </c:pt>
                <c:pt idx="96">
                  <c:v>17.09050067557455</c:v>
                </c:pt>
                <c:pt idx="97">
                  <c:v>18.101147329256204</c:v>
                </c:pt>
                <c:pt idx="98">
                  <c:v>19.501111096863369</c:v>
                </c:pt>
                <c:pt idx="99">
                  <c:v>21.451818680146609</c:v>
                </c:pt>
                <c:pt idx="100">
                  <c:v>27.642768821275716</c:v>
                </c:pt>
              </c:numCache>
            </c:numRef>
          </c:xVal>
          <c:yVal>
            <c:numRef>
              <c:f>'[Phase 1 SLS_Calibration for NR MIMO_v54.xlsx]Sheet1'!$A$29:$A$129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9E6E-49BC-8EC5-63930A9438BC}"/>
            </c:ext>
          </c:extLst>
        </c:ser>
        <c:ser>
          <c:idx val="25"/>
          <c:order val="13"/>
          <c:tx>
            <c:strRef>
              <c:f>'[Phase 1 SLS_Calibration for NR MIMO_v54.xlsx]Macro-DenseUrban-4G'!$BF$25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9525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MIMO_v54.xlsx]Macro-DenseUrban-4G'!$BF$29:$BF$129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9-9E6E-49BC-8EC5-63930A9438BC}"/>
            </c:ext>
          </c:extLst>
        </c:ser>
        <c:ser>
          <c:idx val="26"/>
          <c:order val="14"/>
          <c:tx>
            <c:strRef>
              <c:f>'[Phase 1 SLS_Calibration for NR MIMO_v54.xlsx]Macro-DenseUrban-4G'!$BG$25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9525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MIMO_v54.xlsx]Macro-DenseUrban-4G'!$BG$29:$BG$129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A-9E6E-49BC-8EC5-63930A9438BC}"/>
            </c:ext>
          </c:extLst>
        </c:ser>
        <c:ser>
          <c:idx val="27"/>
          <c:order val="15"/>
          <c:tx>
            <c:strRef>
              <c:f>'[Phase 1 SLS_Calibration for NR MIMO_v54.xlsx]Macro-DenseUrban-4G'!$BH$25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9525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'[Phase 1 SLS_Calibration for NR MIMO_v54.xlsx]Macro-DenseUrban-4G'!$BH$29:$BH$129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E6E-49BC-8EC5-63930A9438BC}"/>
            </c:ext>
          </c:extLst>
        </c:ser>
        <c:ser>
          <c:idx val="28"/>
          <c:order val="16"/>
          <c:tx>
            <c:strRef>
              <c:f>'[Phase 1 SLS_Calibration for NR MIMO_v54.xlsx]Macro-DenseUrban-4G'!$BI$25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'[Phase 1 SLS_Calibration for NR MIMO_v54.xlsx]Macro-DenseUrban-4G'!$BI$29:$BI$129</c:f>
              <c:numCache>
                <c:formatCode>General</c:formatCode>
                <c:ptCount val="101"/>
              </c:numCache>
            </c:numRef>
          </c:xVal>
          <c:yVal>
            <c:numRef>
              <c:f>'[Phase 1 SLS_Calibration for NR MIMO_v54.xlsx]Macro-DenseUrban-4G'!$A$29:$A$129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9E6E-49BC-8EC5-63930A9438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7935616"/>
        <c:axId val="257937408"/>
      </c:scatterChart>
      <c:valAx>
        <c:axId val="257935616"/>
        <c:scaling>
          <c:orientation val="minMax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Wideband SINR without beamforming (dB)</a:t>
                </a:r>
              </a:p>
            </c:rich>
          </c:tx>
          <c:layout>
            <c:manualLayout>
              <c:xMode val="edge"/>
              <c:yMode val="edge"/>
              <c:x val="0.21193913226236022"/>
              <c:y val="0.9342139778035673"/>
            </c:manualLayout>
          </c:layout>
          <c:overlay val="0"/>
          <c:spPr>
            <a:noFill/>
            <a:ln w="25400">
              <a:noFill/>
            </a:ln>
          </c:spPr>
        </c:title>
        <c:numFmt formatCode="0_ " sourceLinked="0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zh-CN"/>
          </a:p>
        </c:txPr>
        <c:crossAx val="257937408"/>
        <c:crossesAt val="-120"/>
        <c:crossBetween val="midCat"/>
        <c:majorUnit val="5"/>
      </c:valAx>
      <c:valAx>
        <c:axId val="257937408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0.95557080727629184"/>
              <c:y val="0.348192397852793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25793561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12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D80C-704A-4423-947A-C2F771E6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1218</Words>
  <Characters>6943</Characters>
  <Application>Microsoft Office Word</Application>
  <DocSecurity>0</DocSecurity>
  <Lines>57</Lines>
  <Paragraphs>16</Paragraphs>
  <ScaleCrop>false</ScaleCrop>
  <Company>vivo mobile communication co.</Company>
  <LinksUpToDate>false</LinksUpToDate>
  <CharactersWithSpaces>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3</cp:revision>
  <cp:lastPrinted>2008-12-09T03:19:00Z</cp:lastPrinted>
  <dcterms:created xsi:type="dcterms:W3CDTF">2017-05-06T13:31:00Z</dcterms:created>
  <dcterms:modified xsi:type="dcterms:W3CDTF">2017-05-06T14:03:00Z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